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6128B1"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Predicting the Transfer Intentions of Specialist</w:t>
      </w:r>
    </w:p>
    <w:p w14:paraId="6B56AA93"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Nurses through Machine Learning</w:t>
      </w:r>
    </w:p>
    <w:p w14:paraId="46BF7F1D">
      <w:pPr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Authors: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621"/>
        <w:gridCol w:w="4621"/>
      </w:tblGrid>
      <w:tr w14:paraId="6D070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21" w:type="dxa"/>
          </w:tcPr>
          <w:p w14:paraId="6D0E2D10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Name</w:t>
            </w:r>
          </w:p>
        </w:tc>
        <w:tc>
          <w:tcPr>
            <w:tcW w:w="4621" w:type="dxa"/>
          </w:tcPr>
          <w:p w14:paraId="235F2817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Gan Wang</w:t>
            </w:r>
          </w:p>
        </w:tc>
      </w:tr>
      <w:tr w14:paraId="5119F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21" w:type="dxa"/>
          </w:tcPr>
          <w:p w14:paraId="247FDBFA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Email</w:t>
            </w:r>
          </w:p>
        </w:tc>
        <w:tc>
          <w:tcPr>
            <w:tcW w:w="4621" w:type="dxa"/>
          </w:tcPr>
          <w:p w14:paraId="6AFC985A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C104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21" w:type="dxa"/>
            <w:shd w:val="clear"/>
            <w:vAlign w:val="top"/>
          </w:tcPr>
          <w:p w14:paraId="1483772D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Department</w:t>
            </w:r>
          </w:p>
        </w:tc>
        <w:tc>
          <w:tcPr>
            <w:tcW w:w="4621" w:type="dxa"/>
            <w:shd w:val="clear"/>
            <w:vAlign w:val="top"/>
          </w:tcPr>
          <w:p w14:paraId="2CB0608D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imbusRomNo9L-ReguItal" w:cs="Times New Roman"/>
                <w:sz w:val="24"/>
                <w:szCs w:val="24"/>
              </w:rPr>
              <w:t>Shanghai Institute of Infectious Disease and Biosecurity</w:t>
            </w:r>
          </w:p>
        </w:tc>
      </w:tr>
      <w:tr w14:paraId="54933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21" w:type="dxa"/>
            <w:shd w:val="clear"/>
            <w:vAlign w:val="top"/>
          </w:tcPr>
          <w:p w14:paraId="54602989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University</w:t>
            </w:r>
          </w:p>
        </w:tc>
        <w:tc>
          <w:tcPr>
            <w:tcW w:w="4621" w:type="dxa"/>
            <w:shd w:val="clear"/>
            <w:vAlign w:val="top"/>
          </w:tcPr>
          <w:p w14:paraId="69526A9A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NimbusRomNo9L-ReguItal" w:cs="Times New Roman"/>
                <w:sz w:val="24"/>
                <w:szCs w:val="24"/>
              </w:rPr>
              <w:t>Fudan University</w:t>
            </w:r>
          </w:p>
        </w:tc>
      </w:tr>
    </w:tbl>
    <w:p w14:paraId="1413AFC9">
      <w:pPr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621"/>
        <w:gridCol w:w="4621"/>
      </w:tblGrid>
      <w:tr w14:paraId="5A4AF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21" w:type="dxa"/>
          </w:tcPr>
          <w:p w14:paraId="0AA355FC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Name</w:t>
            </w:r>
          </w:p>
        </w:tc>
        <w:tc>
          <w:tcPr>
            <w:tcW w:w="4621" w:type="dxa"/>
          </w:tcPr>
          <w:p w14:paraId="229FCB13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Zheng Luo</w:t>
            </w:r>
          </w:p>
        </w:tc>
      </w:tr>
      <w:tr w14:paraId="487CE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21" w:type="dxa"/>
          </w:tcPr>
          <w:p w14:paraId="7BF18EDB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Email</w:t>
            </w:r>
          </w:p>
        </w:tc>
        <w:tc>
          <w:tcPr>
            <w:tcW w:w="4621" w:type="dxa"/>
          </w:tcPr>
          <w:p w14:paraId="15D842E5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luoz@umich.edu</w:t>
            </w:r>
          </w:p>
        </w:tc>
      </w:tr>
      <w:tr w14:paraId="38A27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21" w:type="dxa"/>
          </w:tcPr>
          <w:p w14:paraId="35201A08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Department</w:t>
            </w:r>
          </w:p>
        </w:tc>
        <w:tc>
          <w:tcPr>
            <w:tcW w:w="4621" w:type="dxa"/>
          </w:tcPr>
          <w:p w14:paraId="7C3385CE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Ital" w:cs="Times New Roman"/>
                <w:sz w:val="24"/>
                <w:szCs w:val="24"/>
              </w:rPr>
              <w:t>UM-SJTU Joint Institute</w:t>
            </w:r>
          </w:p>
        </w:tc>
      </w:tr>
      <w:tr w14:paraId="1F32F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621" w:type="dxa"/>
          </w:tcPr>
          <w:p w14:paraId="73CFAB11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University</w:t>
            </w:r>
          </w:p>
        </w:tc>
        <w:tc>
          <w:tcPr>
            <w:tcW w:w="4621" w:type="dxa"/>
          </w:tcPr>
          <w:p w14:paraId="3434E6D3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Ital" w:cs="Times New Roman"/>
                <w:sz w:val="24"/>
                <w:szCs w:val="24"/>
              </w:rPr>
              <w:t>Shanghai Jiao Tong University</w:t>
            </w:r>
          </w:p>
        </w:tc>
      </w:tr>
    </w:tbl>
    <w:p w14:paraId="19DBEE8E">
      <w:pPr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621"/>
        <w:gridCol w:w="4621"/>
      </w:tblGrid>
      <w:tr w14:paraId="7CDD9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21" w:type="dxa"/>
          </w:tcPr>
          <w:p w14:paraId="28E57558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Name</w:t>
            </w:r>
          </w:p>
        </w:tc>
        <w:tc>
          <w:tcPr>
            <w:tcW w:w="4621" w:type="dxa"/>
          </w:tcPr>
          <w:p w14:paraId="0000485B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Huiying Wu</w:t>
            </w:r>
          </w:p>
        </w:tc>
      </w:tr>
      <w:tr w14:paraId="1331A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21" w:type="dxa"/>
          </w:tcPr>
          <w:p w14:paraId="07797E3E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Email</w:t>
            </w:r>
          </w:p>
        </w:tc>
        <w:tc>
          <w:tcPr>
            <w:tcW w:w="4621" w:type="dxa"/>
          </w:tcPr>
          <w:p w14:paraId="5BE91445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DABD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21" w:type="dxa"/>
          </w:tcPr>
          <w:p w14:paraId="1B4B2761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Department</w:t>
            </w:r>
          </w:p>
        </w:tc>
        <w:tc>
          <w:tcPr>
            <w:tcW w:w="4621" w:type="dxa"/>
          </w:tcPr>
          <w:p w14:paraId="3B076E00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Ital" w:cs="Times New Roman"/>
                <w:sz w:val="24"/>
                <w:szCs w:val="24"/>
              </w:rPr>
              <w:t>School of Public Health</w:t>
            </w:r>
          </w:p>
        </w:tc>
      </w:tr>
      <w:tr w14:paraId="19054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21" w:type="dxa"/>
          </w:tcPr>
          <w:p w14:paraId="47633BE1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University</w:t>
            </w:r>
          </w:p>
        </w:tc>
        <w:tc>
          <w:tcPr>
            <w:tcW w:w="4621" w:type="dxa"/>
          </w:tcPr>
          <w:p w14:paraId="157CEAB4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Ital" w:cs="Times New Roman"/>
                <w:sz w:val="24"/>
                <w:szCs w:val="24"/>
              </w:rPr>
              <w:t>Fudan University</w:t>
            </w:r>
          </w:p>
        </w:tc>
      </w:tr>
    </w:tbl>
    <w:p w14:paraId="28C6208E">
      <w:pPr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621"/>
        <w:gridCol w:w="4621"/>
      </w:tblGrid>
      <w:tr w14:paraId="31CB1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21" w:type="dxa"/>
          </w:tcPr>
          <w:p w14:paraId="3029A168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Name</w:t>
            </w:r>
          </w:p>
        </w:tc>
        <w:tc>
          <w:tcPr>
            <w:tcW w:w="4621" w:type="dxa"/>
          </w:tcPr>
          <w:p w14:paraId="3113C728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Jiaojiao Wang</w:t>
            </w:r>
          </w:p>
        </w:tc>
      </w:tr>
      <w:tr w14:paraId="61965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21" w:type="dxa"/>
          </w:tcPr>
          <w:p w14:paraId="574D08E6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Email</w:t>
            </w:r>
          </w:p>
        </w:tc>
        <w:tc>
          <w:tcPr>
            <w:tcW w:w="4621" w:type="dxa"/>
          </w:tcPr>
          <w:p w14:paraId="772B5DDE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6724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21" w:type="dxa"/>
          </w:tcPr>
          <w:p w14:paraId="763A596D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Department</w:t>
            </w:r>
          </w:p>
        </w:tc>
        <w:tc>
          <w:tcPr>
            <w:tcW w:w="4621" w:type="dxa"/>
          </w:tcPr>
          <w:p w14:paraId="25C5BE9A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Ital" w:cs="Times New Roman"/>
                <w:sz w:val="24"/>
                <w:szCs w:val="24"/>
              </w:rPr>
              <w:t>School of Public Health</w:t>
            </w:r>
          </w:p>
        </w:tc>
      </w:tr>
      <w:tr w14:paraId="3ECFF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21" w:type="dxa"/>
          </w:tcPr>
          <w:p w14:paraId="1C695E18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University</w:t>
            </w:r>
          </w:p>
        </w:tc>
        <w:tc>
          <w:tcPr>
            <w:tcW w:w="4621" w:type="dxa"/>
          </w:tcPr>
          <w:p w14:paraId="62E9BA17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Ital" w:cs="Times New Roman"/>
                <w:sz w:val="24"/>
                <w:szCs w:val="24"/>
              </w:rPr>
              <w:t>Fudan University</w:t>
            </w:r>
          </w:p>
        </w:tc>
      </w:tr>
    </w:tbl>
    <w:p w14:paraId="20021EA1">
      <w:pPr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621"/>
        <w:gridCol w:w="4621"/>
      </w:tblGrid>
      <w:tr w14:paraId="374B1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21" w:type="dxa"/>
          </w:tcPr>
          <w:p w14:paraId="429B387C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Name</w:t>
            </w:r>
          </w:p>
        </w:tc>
        <w:tc>
          <w:tcPr>
            <w:tcW w:w="4621" w:type="dxa"/>
          </w:tcPr>
          <w:p w14:paraId="33FD0941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Wen Ma</w:t>
            </w:r>
          </w:p>
        </w:tc>
      </w:tr>
      <w:tr w14:paraId="41A3E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21" w:type="dxa"/>
          </w:tcPr>
          <w:p w14:paraId="346A1842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Email</w:t>
            </w:r>
          </w:p>
        </w:tc>
        <w:tc>
          <w:tcPr>
            <w:tcW w:w="4621" w:type="dxa"/>
          </w:tcPr>
          <w:p w14:paraId="02C29860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CB17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21" w:type="dxa"/>
          </w:tcPr>
          <w:p w14:paraId="4A4B33C8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Department</w:t>
            </w:r>
          </w:p>
        </w:tc>
        <w:tc>
          <w:tcPr>
            <w:tcW w:w="4621" w:type="dxa"/>
          </w:tcPr>
          <w:p w14:paraId="351F6554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Ital" w:cs="Times New Roman"/>
                <w:sz w:val="24"/>
                <w:szCs w:val="24"/>
              </w:rPr>
              <w:t>Shanghai Institute of Infectious Disease and Biosecurity</w:t>
            </w:r>
          </w:p>
        </w:tc>
      </w:tr>
      <w:tr w14:paraId="71255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21" w:type="dxa"/>
          </w:tcPr>
          <w:p w14:paraId="5F88A7F5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University</w:t>
            </w:r>
          </w:p>
        </w:tc>
        <w:tc>
          <w:tcPr>
            <w:tcW w:w="4621" w:type="dxa"/>
          </w:tcPr>
          <w:p w14:paraId="182A104B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Ital" w:cs="Times New Roman"/>
                <w:sz w:val="24"/>
                <w:szCs w:val="24"/>
              </w:rPr>
              <w:t>Fudan University</w:t>
            </w:r>
          </w:p>
        </w:tc>
      </w:tr>
    </w:tbl>
    <w:p w14:paraId="72DCD484">
      <w:pPr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621"/>
        <w:gridCol w:w="4621"/>
      </w:tblGrid>
      <w:tr w14:paraId="42E87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621" w:type="dxa"/>
          </w:tcPr>
          <w:p w14:paraId="3262BBFE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Name</w:t>
            </w:r>
          </w:p>
        </w:tc>
        <w:tc>
          <w:tcPr>
            <w:tcW w:w="4621" w:type="dxa"/>
          </w:tcPr>
          <w:p w14:paraId="0D868A9E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Li Luo</w:t>
            </w:r>
          </w:p>
        </w:tc>
      </w:tr>
      <w:tr w14:paraId="5546C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21" w:type="dxa"/>
          </w:tcPr>
          <w:p w14:paraId="47F1D2BD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Email</w:t>
            </w:r>
          </w:p>
        </w:tc>
        <w:tc>
          <w:tcPr>
            <w:tcW w:w="4621" w:type="dxa"/>
          </w:tcPr>
          <w:p w14:paraId="18902286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szCs w:val="24"/>
                <w:vertAlign w:val="baseline"/>
                <w:lang w:val="en-US" w:eastAsia="zh-CN"/>
              </w:rPr>
              <w:t>liluo@fudan.edu.cn</w:t>
            </w:r>
          </w:p>
        </w:tc>
      </w:tr>
      <w:tr w14:paraId="4F582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21" w:type="dxa"/>
          </w:tcPr>
          <w:p w14:paraId="192EF10F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Department</w:t>
            </w:r>
          </w:p>
        </w:tc>
        <w:tc>
          <w:tcPr>
            <w:tcW w:w="4621" w:type="dxa"/>
          </w:tcPr>
          <w:p w14:paraId="0C859DCA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Ital" w:cs="Times New Roman"/>
                <w:sz w:val="24"/>
                <w:szCs w:val="24"/>
              </w:rPr>
              <w:t>School of Public Health</w:t>
            </w:r>
          </w:p>
        </w:tc>
      </w:tr>
      <w:tr w14:paraId="5EA63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21" w:type="dxa"/>
          </w:tcPr>
          <w:p w14:paraId="2E0BC618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University</w:t>
            </w:r>
          </w:p>
        </w:tc>
        <w:tc>
          <w:tcPr>
            <w:tcW w:w="4621" w:type="dxa"/>
          </w:tcPr>
          <w:p w14:paraId="78CF2C56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Ital" w:cs="Times New Roman"/>
                <w:sz w:val="24"/>
                <w:szCs w:val="24"/>
              </w:rPr>
              <w:t>Fudan University</w:t>
            </w:r>
          </w:p>
        </w:tc>
      </w:tr>
    </w:tbl>
    <w:p w14:paraId="5BDAFD77">
      <w:pPr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160FB596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Abstract</w:t>
      </w:r>
    </w:p>
    <w:p w14:paraId="348D786B">
      <w:pPr>
        <w:spacing w:beforeLines="0" w:afterLines="0"/>
        <w:jc w:val="left"/>
        <w:rPr>
          <w:rFonts w:hint="default" w:ascii="Times New Roman" w:hAnsi="Times New Roman" w:eastAsia="NimbusRomNo9L-Medi" w:cs="Times New Roman"/>
          <w:sz w:val="24"/>
          <w:szCs w:val="24"/>
        </w:rPr>
      </w:pPr>
      <w:r>
        <w:rPr>
          <w:rFonts w:hint="default" w:ascii="Times New Roman" w:hAnsi="Times New Roman" w:eastAsia="NimbusRomNo9L-Medi" w:cs="Times New Roman"/>
          <w:sz w:val="24"/>
          <w:szCs w:val="24"/>
        </w:rPr>
        <w:t>The shortage of specialist nurses poses a significant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Medi" w:cs="Times New Roman"/>
          <w:sz w:val="24"/>
          <w:szCs w:val="24"/>
        </w:rPr>
        <w:t>challenge to healthcare systems worldwide, impacting both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Medi" w:cs="Times New Roman"/>
          <w:sz w:val="24"/>
          <w:szCs w:val="24"/>
        </w:rPr>
        <w:t>patient care and hospital operations. This study explores the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Medi" w:cs="Times New Roman"/>
          <w:sz w:val="24"/>
          <w:szCs w:val="24"/>
        </w:rPr>
        <w:t>application of machine learning to predict the job transfer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Medi" w:cs="Times New Roman"/>
          <w:sz w:val="24"/>
          <w:szCs w:val="24"/>
        </w:rPr>
        <w:t>tendencies of specialist nurses, aiming to provide hospitals with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Medi" w:cs="Times New Roman"/>
          <w:sz w:val="24"/>
          <w:szCs w:val="24"/>
        </w:rPr>
        <w:t>actionable insights for retention strategies. We applied multiple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Medi" w:cs="Times New Roman"/>
          <w:sz w:val="24"/>
          <w:szCs w:val="24"/>
        </w:rPr>
        <w:t>classification algorithms, including Random Forest, XGBoost,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Medi" w:cs="Times New Roman"/>
          <w:sz w:val="24"/>
          <w:szCs w:val="24"/>
        </w:rPr>
        <w:t>and MLPClassifier, with the final model achieving an AUC score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Medi" w:cs="Times New Roman"/>
          <w:sz w:val="24"/>
          <w:szCs w:val="24"/>
        </w:rPr>
        <w:t>of 0.713 after cross-validation and hyperparameter optimization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Medi" w:cs="Times New Roman"/>
          <w:sz w:val="24"/>
          <w:szCs w:val="24"/>
        </w:rPr>
        <w:t>using the Tree-structured Parzen Estimator (TPE). To better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Medi" w:cs="Times New Roman"/>
          <w:sz w:val="24"/>
          <w:szCs w:val="24"/>
        </w:rPr>
        <w:t>understand feature contributions, we utilized SHAP (SHapley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Medi" w:cs="Times New Roman"/>
          <w:sz w:val="24"/>
          <w:szCs w:val="24"/>
        </w:rPr>
        <w:t>Additive exPlanations) values to perform feature importance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Medi" w:cs="Times New Roman"/>
          <w:sz w:val="24"/>
          <w:szCs w:val="24"/>
        </w:rPr>
        <w:t>analysis. Our findings identified that key predictors of nurse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Medi" w:cs="Times New Roman"/>
          <w:sz w:val="24"/>
          <w:szCs w:val="24"/>
        </w:rPr>
        <w:t>transfer include clinical teaching participation, specialist training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Medi" w:cs="Times New Roman"/>
          <w:sz w:val="24"/>
          <w:szCs w:val="24"/>
        </w:rPr>
        <w:t>attendance, and job satisfaction. However, certain results, such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Medi" w:cs="Times New Roman"/>
          <w:sz w:val="24"/>
          <w:szCs w:val="24"/>
        </w:rPr>
        <w:t>as the unexpected positive correlation between satisfaction with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Medi" w:cs="Times New Roman"/>
          <w:sz w:val="24"/>
          <w:szCs w:val="24"/>
        </w:rPr>
        <w:t>performance distribution and job transfer, revealed anomalies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Medi" w:cs="Times New Roman"/>
          <w:sz w:val="24"/>
          <w:szCs w:val="24"/>
        </w:rPr>
        <w:t>likely due to class imbalance or data biases. We also discuss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Medi" w:cs="Times New Roman"/>
          <w:sz w:val="24"/>
          <w:szCs w:val="24"/>
        </w:rPr>
        <w:t>the trade-offs between different data preprocessing techniques,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Medi" w:cs="Times New Roman"/>
          <w:sz w:val="24"/>
          <w:szCs w:val="24"/>
        </w:rPr>
        <w:t>particularly regarding oversampling within cross-validation to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Medi" w:cs="Times New Roman"/>
          <w:sz w:val="24"/>
          <w:szCs w:val="24"/>
        </w:rPr>
        <w:t>mitigate class imbalances. While the model’s performance was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Medi" w:cs="Times New Roman"/>
          <w:sz w:val="24"/>
          <w:szCs w:val="24"/>
        </w:rPr>
        <w:t>moderate, the insights from SHAP analysis provide valuable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Medi" w:cs="Times New Roman"/>
          <w:sz w:val="24"/>
          <w:szCs w:val="24"/>
        </w:rPr>
        <w:t>directions for future research. We recommend collecting more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Medi" w:cs="Times New Roman"/>
          <w:sz w:val="24"/>
          <w:szCs w:val="24"/>
        </w:rPr>
        <w:t>representative data and refining feature selection to improve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Medi" w:cs="Times New Roman"/>
          <w:sz w:val="24"/>
          <w:szCs w:val="24"/>
        </w:rPr>
        <w:t>model accuracy. This research contributes to the development of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Medi" w:cs="Times New Roman"/>
          <w:sz w:val="24"/>
          <w:szCs w:val="24"/>
        </w:rPr>
        <w:t>predictive tools for hospital management to address the specialist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Medi" w:cs="Times New Roman"/>
          <w:sz w:val="24"/>
          <w:szCs w:val="24"/>
        </w:rPr>
        <w:t>nurse shortage by identifying nurses at risk of job transfer.</w:t>
      </w:r>
    </w:p>
    <w:p w14:paraId="74833006">
      <w:pPr>
        <w:spacing w:beforeLines="0" w:afterLines="0"/>
        <w:jc w:val="left"/>
        <w:rPr>
          <w:rFonts w:hint="default" w:ascii="Times New Roman" w:hAnsi="Times New Roman" w:eastAsia="NimbusRomNo9L-Medi" w:cs="Times New Roman"/>
          <w:sz w:val="24"/>
          <w:szCs w:val="24"/>
        </w:rPr>
      </w:pPr>
    </w:p>
    <w:p w14:paraId="16E58ABB">
      <w:pPr>
        <w:spacing w:beforeLines="0" w:afterLines="0"/>
        <w:jc w:val="left"/>
        <w:rPr>
          <w:rFonts w:hint="default" w:ascii="Times New Roman" w:hAnsi="Times New Roman" w:eastAsia="NimbusRomNo9L-Medi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NimbusRomNo9L-Medi" w:cs="Times New Roman"/>
          <w:b/>
          <w:bCs/>
          <w:sz w:val="24"/>
          <w:szCs w:val="24"/>
          <w:lang w:val="en-US" w:eastAsia="zh-CN"/>
        </w:rPr>
        <w:t>Strengths and Weaknesses</w:t>
      </w:r>
    </w:p>
    <w:p w14:paraId="752DD274"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Strengths:</w:t>
      </w:r>
    </w:p>
    <w:p w14:paraId="6AC061E6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Multiple model comparison</w:t>
      </w:r>
      <w:r>
        <w:rPr>
          <w:rFonts w:hint="default" w:ascii="Times New Roman" w:hAnsi="Times New Roman" w:cs="Times New Roman"/>
          <w:sz w:val="24"/>
          <w:szCs w:val="24"/>
        </w:rPr>
        <w:t>: By implementing various machine learning models (Random Forest, XGBoost, MLP Classifier, AdaBoost, LGBM Classifier, and CatBoost Classifier), the study explores a wide range of algorithmic approaches to optimize predictive performance.</w:t>
      </w:r>
    </w:p>
    <w:p w14:paraId="00E7DFD7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Cross-validation</w:t>
      </w:r>
      <w:r>
        <w:rPr>
          <w:rFonts w:hint="default" w:ascii="Times New Roman" w:hAnsi="Times New Roman" w:cs="Times New Roman"/>
          <w:sz w:val="24"/>
          <w:szCs w:val="24"/>
        </w:rPr>
        <w:t>: The use of cross-validation ensures robust model selection and reduces the risk of overfitting, enhancing the generalizability of the results.</w:t>
      </w:r>
    </w:p>
    <w:p w14:paraId="08BA10E2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Hyperparameter tuning</w:t>
      </w:r>
      <w:r>
        <w:rPr>
          <w:rFonts w:hint="default" w:ascii="Times New Roman" w:hAnsi="Times New Roman" w:cs="Times New Roman"/>
          <w:sz w:val="24"/>
          <w:szCs w:val="24"/>
        </w:rPr>
        <w:t>: The application of Optuna’s TPE-based optimization allows for efficient hyperparameter selection, leading to improved model performance.</w:t>
      </w:r>
    </w:p>
    <w:p w14:paraId="2C41AD59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Handling imbalanced data</w:t>
      </w:r>
      <w:r>
        <w:rPr>
          <w:rFonts w:hint="default" w:ascii="Times New Roman" w:hAnsi="Times New Roman" w:cs="Times New Roman"/>
          <w:sz w:val="24"/>
          <w:szCs w:val="24"/>
        </w:rPr>
        <w:t>: By incorporating SMOTE (Synthetic Minority Over-sampling Technique), the study addresses class imbalance, ensuring better prediction of minority cases like resignations.</w:t>
      </w:r>
    </w:p>
    <w:p w14:paraId="44BEEBE1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Feature importance analysis</w:t>
      </w:r>
      <w:r>
        <w:rPr>
          <w:rFonts w:hint="default" w:ascii="Times New Roman" w:hAnsi="Times New Roman" w:cs="Times New Roman"/>
          <w:sz w:val="24"/>
          <w:szCs w:val="24"/>
        </w:rPr>
        <w:t>: Using SHAP to interpret feature importance adds transparency and interpretability, making it easier to understand the models' decision-making processes.</w:t>
      </w:r>
    </w:p>
    <w:p w14:paraId="67785723"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Weaknesses:</w:t>
      </w:r>
    </w:p>
    <w:p w14:paraId="5A3C560E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Limited interpretability in some models</w:t>
      </w:r>
      <w:r>
        <w:rPr>
          <w:rFonts w:hint="default" w:ascii="Times New Roman" w:hAnsi="Times New Roman" w:cs="Times New Roman"/>
          <w:sz w:val="24"/>
          <w:szCs w:val="24"/>
        </w:rPr>
        <w:t>: While powerful, models like XGBoost and CatBoost can be complex, making it harder to interpret the underlying relationships compared to simpler models like logistic regression.</w:t>
      </w:r>
    </w:p>
    <w:p w14:paraId="5956FD6E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One-hot encoding scalability</w:t>
      </w:r>
      <w:r>
        <w:rPr>
          <w:rFonts w:hint="default" w:ascii="Times New Roman" w:hAnsi="Times New Roman" w:cs="Times New Roman"/>
          <w:sz w:val="24"/>
          <w:szCs w:val="24"/>
        </w:rPr>
        <w:t>: One-hot encoding used in preprocessing can lead to high-dimensional data, especially when categorical features have many unique values, potentially impacting computational efficiency.</w:t>
      </w:r>
    </w:p>
    <w:p w14:paraId="6DB495F7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Potential data leakage risk</w:t>
      </w:r>
      <w:r>
        <w:rPr>
          <w:rFonts w:hint="default" w:ascii="Times New Roman" w:hAnsi="Times New Roman" w:cs="Times New Roman"/>
          <w:sz w:val="24"/>
          <w:szCs w:val="24"/>
        </w:rPr>
        <w:t>: The extensive preprocessing steps, including feature selection and scaling, require careful management to avoid leakage between training and testing data.</w:t>
      </w:r>
    </w:p>
    <w:p w14:paraId="2A45180B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Hyperparameter tuning computational cost</w:t>
      </w:r>
      <w:r>
        <w:rPr>
          <w:rFonts w:hint="default" w:ascii="Times New Roman" w:hAnsi="Times New Roman" w:cs="Times New Roman"/>
          <w:sz w:val="24"/>
          <w:szCs w:val="24"/>
        </w:rPr>
        <w:t>: Although Optuna optimizes the process, the computational cost of hyperparameter tuning across multiple models can be high, particularly when combined with cross-validation.</w:t>
      </w:r>
    </w:p>
    <w:p w14:paraId="0D686DF8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SMOTE limitations</w:t>
      </w:r>
      <w:r>
        <w:rPr>
          <w:rFonts w:hint="default" w:ascii="Times New Roman" w:hAnsi="Times New Roman" w:cs="Times New Roman"/>
          <w:sz w:val="24"/>
          <w:szCs w:val="24"/>
        </w:rPr>
        <w:t>: While SMOTE helps balance the dataset, it may generate synthetic data that doesn't perfectly represent real-world nurse resignation patterns, potentially introducing noise into the training process.</w:t>
      </w:r>
    </w:p>
    <w:p w14:paraId="50386EA1">
      <w:pPr>
        <w:spacing w:beforeLines="0" w:afterLines="0"/>
        <w:jc w:val="left"/>
        <w:rPr>
          <w:rFonts w:hint="default" w:ascii="Times New Roman" w:hAnsi="Times New Roman" w:eastAsia="NimbusRomNo9L-Medi" w:cs="Times New Roman"/>
          <w:sz w:val="24"/>
          <w:szCs w:val="24"/>
          <w:lang w:val="en-US" w:eastAsia="zh-CN"/>
        </w:rPr>
      </w:pPr>
    </w:p>
    <w:p w14:paraId="0C34DDF9">
      <w:pPr>
        <w:spacing w:beforeLines="0" w:afterLines="0"/>
        <w:jc w:val="left"/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  <w:t>I. INTRODUCTION</w:t>
      </w:r>
    </w:p>
    <w:p w14:paraId="57DDFEB5">
      <w:pPr>
        <w:spacing w:beforeLines="0" w:afterLines="0"/>
        <w:jc w:val="left"/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  <w:t>A. Background</w:t>
      </w:r>
    </w:p>
    <w:p w14:paraId="5D445A6A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Specialist nurses are essential in maintaining the quality of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care in hospitals. However, the supply of these nurses is limited,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and when they decide to transfer or leave their positions, it</w:t>
      </w:r>
    </w:p>
    <w:p w14:paraId="33D321F9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can have a significant impact on healthcare systems. Globally,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there were approximately 29.1 million nurses in 2020, but a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shortage of 4.5 million nurses is projected by 2030, according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to the World Health Organization (WHO) [1].</w:t>
      </w:r>
    </w:p>
    <w:p w14:paraId="463A8B5E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44FED14A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In China, the situation is particularly critical. By the end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of 2023, the country had 5.63 million registered nurses,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translating to just 4 nurses per 1,000 people. This is far below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the Organization for Economic Co-operation and Development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(OECD) average of 9.3 nurses per 1,000 people [2], and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even the minimum threshold of 4.45 nurses per 1,000 people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recommended by the WHO [3].</w:t>
      </w:r>
    </w:p>
    <w:p w14:paraId="3258D06A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5E3748CD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Several factors contribute to this global nursing shortage.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These include the aging population [4], an increase in chronic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diseases [5], and job transfers within the nursing profession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[6]. Job transfers, in particular, are a major reason for staff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shortages, as they directly affect the quality of clinical care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and patient safety. For example, in sub-Saharan Africa, the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intention to transfer among nurses is alarmingly high, reaching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50.74%, while in East Africa, it soars to 58.03% [7].</w:t>
      </w:r>
    </w:p>
    <w:p w14:paraId="3D9846FE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7E07CEEF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In China, the annual job transfer rate among hospital nurses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ranges between 20% and 45% [8]. Even at the lower end of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this range, a 20% transfer rate can lead to significant financial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burdens for hospitals and reductions in medical quality. At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the upper end, with a 45% transfer rate, hospitals face severe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organizational and operational disruptions [9].</w:t>
      </w:r>
    </w:p>
    <w:p w14:paraId="3620B667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483C4B72">
      <w:pPr>
        <w:spacing w:beforeLines="0" w:afterLines="0"/>
        <w:jc w:val="left"/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Given the critical role that nurse retention plays in healthcare,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numerous studies have sought to predict job transfer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tendencies among nurses. By identifying early indicators of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transfer, hospitals can either prepare for the eventual vacancies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or take preemptive steps to reduce turnover intentions,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ultimately helping to mitigate the effects of staff shortages.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</w:p>
    <w:p w14:paraId="41072E0A">
      <w:pPr>
        <w:spacing w:beforeLines="0" w:afterLines="0"/>
        <w:jc w:val="left"/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</w:pPr>
    </w:p>
    <w:p w14:paraId="6AD2F8A8">
      <w:pPr>
        <w:spacing w:beforeLines="0" w:afterLines="0"/>
        <w:jc w:val="left"/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  <w:t>B. Motivation</w:t>
      </w:r>
    </w:p>
    <w:p w14:paraId="3676033B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Given the challenges posed by the limited supply of nurses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and their high job transfer rates, it is essential for hospitals to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anticipate potential transfers in advance. Accurate predictions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of nurse transfer tendencies would enable hospitals to either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prepare for staffing vacancies or implement targeted retention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strategies. Such proactive measures can alleviate the negative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impacts of nurse shortages, ensuring continuity in patient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care and reducing the operational strain on hospital resources.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Therefore, the development of reliable predictive models for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nurse job transfers is crucial for maintaining a stable and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efficient healthcare workforce.</w:t>
      </w:r>
    </w:p>
    <w:p w14:paraId="7DAAB2C8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7685D3F4">
      <w:pPr>
        <w:spacing w:beforeLines="0" w:afterLines="0"/>
        <w:jc w:val="left"/>
        <w:rPr>
          <w:rFonts w:hint="eastAsia" w:ascii="Times New Roman" w:hAnsi="Times New Roman" w:eastAsia="SimSu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  <w:t>C. Research Objectives</w:t>
      </w:r>
      <w:r>
        <w:rPr>
          <w:rFonts w:hint="eastAsia" w:ascii="Times New Roman" w:hAnsi="Times New Roman" w:eastAsia="SimSun" w:cs="Times New Roman"/>
          <w:b/>
          <w:bCs/>
          <w:sz w:val="24"/>
          <w:szCs w:val="24"/>
          <w:lang w:val="en-US" w:eastAsia="zh-CN"/>
        </w:rPr>
        <w:t xml:space="preserve"> </w:t>
      </w:r>
    </w:p>
    <w:p w14:paraId="27AA877F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This paper aims to develop a machine learning model to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predict the job transfer tendencies of specialist nurses using a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variety of statistically collected data. In addition to building the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prediction model, we analyze the key factors that most strongly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correlate with transfer tendencies. By identifying these critical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factors, hospitals can use the insights to create a more</w:t>
      </w:r>
    </w:p>
    <w:p w14:paraId="0777FDF6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supportive work environment and reduce nurses’ intentions to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leave, ultimately helping to mitigate the ongoing shortage of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specialist nurses.</w:t>
      </w:r>
    </w:p>
    <w:p w14:paraId="7EE62CD1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705F24E1">
      <w:pPr>
        <w:spacing w:beforeLines="0" w:afterLines="0"/>
        <w:jc w:val="left"/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  <w:t>D. Methodological Approach</w:t>
      </w:r>
    </w:p>
    <w:p w14:paraId="44582091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The development of the predictive model followed a standard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machine learning workflow, encompassing data preprocessing,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 xml:space="preserve">cross-validation, model training, and testing. We 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implemented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several preprocessing strategies, including standard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scaling for numerical data, one-hot encoding for categorical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variables, and feature selection using a logistic regression</w:t>
      </w:r>
    </w:p>
    <w:p w14:paraId="0049CC9A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estimator. Additionally, we utilized the Synthetic Minority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Oversampling Technique (SMOTE) to address class imbalance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through data oversampling.</w:t>
      </w:r>
    </w:p>
    <w:p w14:paraId="1300E7A5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1547C1D6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To identify the final model, we evaluated multiple classification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algorithms, such as Random Forest and XGBoost, based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on their performance during cross-validation.</w:t>
      </w:r>
    </w:p>
    <w:p w14:paraId="28F41560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146BB148">
      <w:pPr>
        <w:spacing w:beforeLines="0" w:afterLines="0"/>
        <w:jc w:val="left"/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For feature importance analysis, we employed the Shapley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Additive Explanations (SHAP) algorithm to assess the most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significant features impacting the prediction outcomes. We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visualized these relationships using SHAP value violin plots,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which provided insights into feature importance and their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contributions to the model’s predictions.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</w:p>
    <w:p w14:paraId="3217A39D">
      <w:pPr>
        <w:spacing w:beforeLines="0" w:afterLines="0"/>
        <w:jc w:val="left"/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</w:pPr>
    </w:p>
    <w:p w14:paraId="1309A8FB">
      <w:pPr>
        <w:spacing w:beforeLines="0" w:afterLines="0"/>
        <w:jc w:val="left"/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  <w:t>II. SIGNIFICANCE AND CONTRIBUTION</w:t>
      </w:r>
    </w:p>
    <w:p w14:paraId="285F3F55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This study offers significant insights into the factors influencing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job transfer tendencies among specialist nurses, with a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particular focus on the Chinese healthcare context. By utilizing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data collected from Chinese nurses, our research provides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hospitals in China with a predictive model that addresses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the pressing issue of nurse turnover, a challenge that has</w:t>
      </w:r>
    </w:p>
    <w:p w14:paraId="0AA8B3E4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substantial implications for healthcare delivery and patient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care.</w:t>
      </w:r>
    </w:p>
    <w:p w14:paraId="634BEB82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2A415D97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Moreover, the findings from this study have broader relevance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beyond China, as many healthcare systems worldwide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face similar challenges related to nurse retention and turnover.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The insights gained from our analysis of the key factors influencing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transfer tendencies can serve as a valuable reference for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hospitals globally. By understanding these factors, healthcare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institutions can implement targeted strategies to create a more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supportive work environment, ultimately leading to improved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job satisfaction and reduced turnover intentions among nursing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staff.</w:t>
      </w:r>
    </w:p>
    <w:p w14:paraId="4561269F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5CD86CFA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The primary contribution of this research lies in its provision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of a data-driven predictive model that equips hospitals with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the tools to proactively address nurse retention. This model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not only enhances the understanding of the complex dynamics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influencing nurse job transfers but also empowers healthcare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administrators to make informed decisions aimed at reducing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turnover. In a time when healthcare systems are grappling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with shortages of specialist nurses, our findings are crucial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for developing effective workforce management strategies that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ensure continuity of care and optimal patient outcomes.</w:t>
      </w:r>
    </w:p>
    <w:p w14:paraId="7727D86F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5D20599A">
      <w:pPr>
        <w:spacing w:beforeLines="0" w:afterLines="0"/>
        <w:jc w:val="left"/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  <w:t>III. RELATED WORK</w:t>
      </w:r>
    </w:p>
    <w:p w14:paraId="2869701F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The issue of nurse turnover has garnered significant attention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in recent literature, particularly in the context of utilizing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machine learning and statistical approaches to predict turnover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intentions. Tiwari et al. (2023) conducted a comprehensive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analysis employing various machine learning models to assess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employee turnover. Their findings suggest that predictive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analytics can substantially aid organizations in preserving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workforce stability and reducing costs associated with rehiring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and training new employees [10].</w:t>
      </w:r>
    </w:p>
    <w:p w14:paraId="36FD3709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47F939B9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In a more focused study, Zhang et al. (2023) explored the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turnover intentions of newly graduated nurses during their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first year of employment. By utilizing longitudinal data and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regression analysis, the study identified critical factors such as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career self-efficacy and adaptability that significantly influence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nurses’ decisions to leave their positions. This research highlights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the importance of understanding the unique challenges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faced by new nursing professionals and offers actionable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insights for healthcare management [11].</w:t>
      </w:r>
    </w:p>
    <w:p w14:paraId="4DDDAA16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058AE9FB">
      <w:pPr>
        <w:spacing w:beforeLines="0" w:afterLines="0"/>
        <w:jc w:val="left"/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  <w:t>IV. METHODOLOGY</w:t>
      </w:r>
    </w:p>
    <w:p w14:paraId="4A5260F0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This section describes how we constructed the predictive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model and conducted the feature importance analysis.</w:t>
      </w:r>
    </w:p>
    <w:p w14:paraId="502EE4A0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62193EB1">
      <w:pPr>
        <w:spacing w:beforeLines="0" w:afterLines="0"/>
        <w:jc w:val="left"/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  <w:t>A. Data Collection</w:t>
      </w:r>
    </w:p>
    <w:p w14:paraId="2D89CA47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Data was collected from nurses in Shanghai, facilitated by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the Shanghai Xuhui District Health Commission. Anonymous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questionnaires were distributed via the online platform Wenjuanxing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to all district medical institutions, excluding one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tertiary hospital.</w:t>
      </w:r>
    </w:p>
    <w:p w14:paraId="519D59B0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48EA115F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The questionnaire covered a range of features, including demographic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characteristics, professional experience, education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level, and psychosocial factors. The original questionnaire is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provided in Appendix A for reference.</w:t>
      </w:r>
    </w:p>
    <w:p w14:paraId="25310072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6B5A007F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To reduce the burden on participants and encourage more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accurate responses, we discretized numeric answers into categories.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For instance, the question ”Night Shift Frequency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 xml:space="preserve">Per Month” offered three options: 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zh-CN"/>
        </w:rPr>
        <w:t>“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 xml:space="preserve">0-5”, 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zh-CN"/>
        </w:rPr>
        <w:t>“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 xml:space="preserve">5-10”, and 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zh-CN"/>
        </w:rPr>
        <w:t>“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>&gt;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10”.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This approach made the questions less intimidating and helped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ensure truthful responses without overwhelming participants.</w:t>
      </w:r>
    </w:p>
    <w:p w14:paraId="60C6DF5E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5E7B91A4">
      <w:pPr>
        <w:spacing w:beforeLines="0" w:afterLines="0"/>
        <w:jc w:val="left"/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Once data collection was complete, we proceeded with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model development, which involved four key stages: data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splitting, cross-validation, model training, and testing. The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overall workflow is illustrated in Figure 1.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</w:p>
    <w:p w14:paraId="32E01180">
      <w:pPr>
        <w:spacing w:beforeLines="0" w:afterLines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719445" cy="3051175"/>
            <wp:effectExtent l="0" t="0" r="10795" b="1206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9445" cy="305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2A507">
      <w:pPr>
        <w:spacing w:beforeLines="0" w:afterLines="0"/>
        <w:jc w:val="left"/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  <w:t>Fig. 1. The machine learning workflow adopted in this paper.</w:t>
      </w:r>
    </w:p>
    <w:p w14:paraId="60F8111E">
      <w:pPr>
        <w:spacing w:beforeLines="0" w:afterLines="0"/>
        <w:jc w:val="left"/>
        <w:rPr>
          <w:rFonts w:hint="eastAsia" w:ascii="Times New Roman" w:hAnsi="Times New Roman" w:eastAsia="NimbusRomNo9L-Regu" w:cs="Times New Roman"/>
          <w:b/>
          <w:bCs/>
          <w:sz w:val="24"/>
          <w:szCs w:val="24"/>
          <w:lang w:val="en-US" w:eastAsia="zh-CN"/>
        </w:rPr>
      </w:pPr>
    </w:p>
    <w:p w14:paraId="05AE0E21">
      <w:pPr>
        <w:spacing w:beforeLines="0" w:afterLines="0"/>
        <w:jc w:val="left"/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  <w:t>B. Data Preprocessing</w:t>
      </w:r>
    </w:p>
    <w:p w14:paraId="45F6C80F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The following preprocessing techniques were applied to the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dataset:</w:t>
      </w:r>
    </w:p>
    <w:p w14:paraId="2F7B57B5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614810FE">
      <w:pPr>
        <w:spacing w:beforeLines="0" w:afterLines="0"/>
        <w:jc w:val="left"/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  <w:t>1) Standard Scaling:</w:t>
      </w:r>
      <w:r>
        <w:rPr>
          <w:rFonts w:hint="default" w:ascii="Times New Roman" w:hAnsi="Times New Roman" w:eastAsia="NimbusRomNo9L-ReguItal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Standard scaling was used to normalize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numeric features, ensuring they have a mean of zero and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a standard deviation of one. This step prevents features with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larger scales from disproportionately influencing the model.</w:t>
      </w:r>
    </w:p>
    <w:p w14:paraId="094EC61D">
      <w:pPr>
        <w:spacing w:beforeLines="0" w:afterLines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26F173EF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  <w:t xml:space="preserve">2) One-Hot Encoding: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To handle categorical data, we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applied one-hot encoding, which converts categories into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binary vectors. This allows models to process categorical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variables without assuming an ordinal relationship between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the categories, which is essential for features like job roles or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departments.</w:t>
      </w:r>
    </w:p>
    <w:p w14:paraId="6937A492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441D3286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  <w:t xml:space="preserve">3) Feature Selection From Logistic Regression Model: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We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leveraged the coefficients from a logistic regression model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to select important features. This method reduces model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complexity, enhances interpretability, and may improve performance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by eliminating irrelevant or redundant variables.</w:t>
      </w:r>
    </w:p>
    <w:p w14:paraId="7EC672BF">
      <w:pPr>
        <w:spacing w:beforeLines="0" w:afterLines="0"/>
        <w:jc w:val="left"/>
        <w:rPr>
          <w:rFonts w:hint="default" w:ascii="Times New Roman" w:hAnsi="Times New Roman" w:eastAsia="NimbusRomNo9L-ReguItal" w:cs="Times New Roman"/>
          <w:sz w:val="24"/>
          <w:szCs w:val="24"/>
        </w:rPr>
      </w:pPr>
    </w:p>
    <w:p w14:paraId="27AF82BD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  <w:t>4) Synthetic Minority Oversampling Technique (SMOTE):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SMOTE was employed to address class imbalance by generating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synthetic examples for the minority class, rather than duplicating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existing ones. This technique improves the model’s ability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to generalize, reducing bias toward the majority class—an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essential consideration when predicting rare outcomes like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nurse transfer intentions.</w:t>
      </w:r>
    </w:p>
    <w:p w14:paraId="5274D6C7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50363CEC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Preprocessing steps were applied after the training/testing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data split and within cross-validation to prevent data leakage,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which can occur if the transformation uses global information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from both the training and testing sets [12] [13]. For instance,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applying standard scaling before splitting would leak the overall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data distribution, leading to overestimated performance.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This concern is particularly important with SMOTE, as it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synthesizes new data from existing data, amplifying the risk of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overestimation compared to other transformations like one-hot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encoding.</w:t>
      </w:r>
    </w:p>
    <w:p w14:paraId="6D7E045D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1F9D1916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To maximize model performance, we made all preprocessing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steps optional, allowing cross-validation to choose the best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combination. This ensured that preprocessing steps would not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negatively impact the model.</w:t>
      </w:r>
    </w:p>
    <w:p w14:paraId="57A915F0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3D74C9FE">
      <w:pPr>
        <w:spacing w:beforeLines="0" w:afterLines="0"/>
        <w:jc w:val="left"/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  <w:t>C. Cross-Validation</w:t>
      </w:r>
    </w:p>
    <w:p w14:paraId="0C8876E8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Cross-validation was used to select the model, hyperparameters,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and preprocessing steps.</w:t>
      </w:r>
    </w:p>
    <w:p w14:paraId="568E815C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34B23893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  <w:t xml:space="preserve">1) Model Selection: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We considered several machine learning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models, including Random Forest, XGBoost, MLP Classifier,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AdaBoost, LGBM Classifier, and CatBoost Classifier.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These models were chosen for their strong performance on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medium-sized datasets, in contrast to deep learning approaches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which are more computationally intensive.</w:t>
      </w:r>
    </w:p>
    <w:p w14:paraId="50DEC6D5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363AA789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  <w:t xml:space="preserve">2) Hyperparameter Selection: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For each model, we optimized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the five most critical hyperparameters, with ranges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selected based on best practices and mainstream recommendations.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For other hyperparameters, we left them at default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values.</w:t>
      </w:r>
    </w:p>
    <w:p w14:paraId="0F55BC2F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2068444C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  <w:t xml:space="preserve">3) Preprocessing Steps Selection: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All four preprocessing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steps (standard scaling, one-hot encoding, feature selection,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and SMOTE) were treated as optional, resulting in 16 possible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combinations. This allowed for maximum flexibility in the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preprocessing pipeline.</w:t>
      </w:r>
    </w:p>
    <w:p w14:paraId="656FEB1A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4C351FBA">
      <w:pPr>
        <w:spacing w:beforeLines="0" w:afterLines="0"/>
        <w:jc w:val="left"/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  <w:t xml:space="preserve">4) Cross-Validation Optimization Algorithm Selection: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We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used the Tree-structured Parzen Estimator (TPE), the default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algorithm in Optuna, for hyperparameter optimization. TPE is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a sequential model-based optimization (SMBO) method that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models the objective function using probabilistic distributions,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focusing the search on promising regions of the hyperparameter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space more efficiently than grid or random search.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</w:p>
    <w:p w14:paraId="1EF3FCBF">
      <w:pPr>
        <w:spacing w:beforeLines="0" w:afterLines="0"/>
        <w:jc w:val="left"/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</w:pPr>
    </w:p>
    <w:p w14:paraId="6556835F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  <w:t>5) Cross-Validation Performance Metric Selection:</w:t>
      </w:r>
      <w:r>
        <w:rPr>
          <w:rFonts w:hint="default" w:ascii="Times New Roman" w:hAnsi="Times New Roman" w:eastAsia="NimbusRomNo9L-ReguItal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The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performance of the models was evaluated using the area under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the receiver operating characteristic curve (AUC). AUC was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chosen as it provides a more nuanced understanding of model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performance compared to metrics like accuracy or F1-score.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In predicting nurse transfer intentions, AUC is particularly</w:t>
      </w:r>
    </w:p>
    <w:p w14:paraId="6EB83E90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useful because it allows for adjusting the decision threshold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to balance false positives and false negatives based on their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relative costs, making it the most suitable metric for this task.</w:t>
      </w:r>
    </w:p>
    <w:p w14:paraId="53A660BF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3769FFD6">
      <w:pPr>
        <w:spacing w:beforeLines="0" w:afterLines="0"/>
        <w:jc w:val="left"/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  <w:t>D. Training and Testing</w:t>
      </w:r>
    </w:p>
    <w:p w14:paraId="70453099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Based on cross-validation results, we selected the best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model, hyperparameters, and preprocessing steps. The final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model was trained on the full training set and evaluated against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the test set to generate performance metrics.</w:t>
      </w:r>
    </w:p>
    <w:p w14:paraId="103A4AA8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62CD2E67">
      <w:pPr>
        <w:spacing w:beforeLines="0" w:afterLines="0"/>
        <w:jc w:val="left"/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  <w:t>E. SHAP feature Importance Analysis</w:t>
      </w:r>
    </w:p>
    <w:p w14:paraId="1E4645C4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  <w:t>1) Introduction:</w:t>
      </w:r>
      <w:r>
        <w:rPr>
          <w:rFonts w:hint="default" w:ascii="Times New Roman" w:hAnsi="Times New Roman" w:eastAsia="NimbusRomNo9L-ReguItal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Feature importance analysis is a crucial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aspect of machine learning, enabling researchers and practitioners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to understand the impact of individual features on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model predictions. Among the various methods available for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feature importance analysis, Shapley Additive Explanation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(SHAP) has gained significant attention due to its unique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approach grounded in cooperative game theory. SHAP values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provide a consistent and interpretable measure of feature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importance by attributing the prediction of an instance to its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features based on their contributions.</w:t>
      </w:r>
    </w:p>
    <w:p w14:paraId="6F41B5B2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5A8955D7">
      <w:pPr>
        <w:spacing w:beforeLines="0" w:afterLines="0"/>
        <w:jc w:val="left"/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  <w:t>2) Comparison with Other Feature Importance Algorithms:</w:t>
      </w:r>
    </w:p>
    <w:p w14:paraId="09A522A7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Various algorithms exist for feature importance analysis, each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with its strengths and weaknesses. Traditional methods like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permutation importance evaluate feature importance by measuring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the change in model performance when the values of a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feature are randomly shuffled. While intuitive, this approach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can be sensitive to correlated features and may not provide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consistent results across different models.</w:t>
      </w:r>
    </w:p>
    <w:p w14:paraId="35ECF572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392BD45A">
      <w:pPr>
        <w:spacing w:beforeLines="0" w:afterLines="0"/>
        <w:jc w:val="left"/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Another popular method is feature importance derived from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tree-based models, such as Gini importance or Mean Decrease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Impurity. However, these methods often suffer from biases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related to feature correlation and are model-specific, making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them less applicable across different algorithms.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</w:p>
    <w:p w14:paraId="3EF1F357">
      <w:pPr>
        <w:spacing w:beforeLines="0" w:afterLines="0"/>
        <w:jc w:val="left"/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</w:pPr>
    </w:p>
    <w:p w14:paraId="00D7BEA9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In contrast, SHAP values offer several advantages over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these methods. First, SHAP is model-agnostic, meaning it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can be applied to any machine learning model, enhancing its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versatility. Second, SHAP values ensure a fair distribution of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importance among correlated features, providing a more accurate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representation of feature contributions. This is particularly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advantageous in complex datasets where features may interact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or be correlated, as it allows for a clearer understanding of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their individual impacts.</w:t>
      </w:r>
    </w:p>
    <w:p w14:paraId="5C52C191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4FD52CC3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  <w:t xml:space="preserve">3) Rationale for Choosing SHAP: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In our analysis, we chose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to use SHAP due to its ability to provide meaningful insights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into model predictions while ensuring interpretability. As our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study aims to predict the transfer tendency of specialty nurses,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understanding the influence of each feature on individual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predictions is essential for deriving actionable insights. The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use of SHAP allows us to not only gauge overall feature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importance but also to explore the contribution of each feature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to specific predictions, making our findings more actionable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for hospital administrators and policymakers.</w:t>
      </w:r>
    </w:p>
    <w:p w14:paraId="1193F611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58607843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  <w:t xml:space="preserve">4) How to Interpret Individual SHAP Values: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An individual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SHAP value represents the contribution of a specific feature to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the prediction of a particular instance, relative to the average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prediction across the dataset. Positive SHAP values indicate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that the feature increases the prediction, while negative SHAP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values suggest a decrease. The magnitude of the SHAP value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quantifies the strength of this contribution. For instance, if a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feature has a SHAP value of +0.3 for a given prediction, it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means that this feature pushes the predicted outcome higher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by 0.3 units compared to the average prediction. This level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of granularity enables stakeholders to identify not just which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features are important, but also how they influence individual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decisions, fostering a deeper understanding of the underlying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dynamics in the data.</w:t>
      </w:r>
    </w:p>
    <w:p w14:paraId="265C67E1">
      <w:pPr>
        <w:spacing w:beforeLines="0" w:afterLines="0"/>
        <w:jc w:val="left"/>
        <w:rPr>
          <w:rFonts w:hint="eastAsia" w:ascii="Times New Roman" w:hAnsi="Times New Roman" w:eastAsia="NimbusRomNo9L-Regu" w:cs="Times New Roman"/>
          <w:sz w:val="24"/>
          <w:szCs w:val="24"/>
          <w:lang w:val="en-US" w:eastAsia="zh-CN"/>
        </w:rPr>
      </w:pPr>
    </w:p>
    <w:p w14:paraId="5EC7F3DD">
      <w:pPr>
        <w:spacing w:beforeLines="0" w:afterLines="0"/>
        <w:jc w:val="left"/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  <w:t>V. RESULT</w:t>
      </w:r>
    </w:p>
    <w:p w14:paraId="0E1D7155">
      <w:pPr>
        <w:spacing w:beforeLines="0" w:afterLines="0"/>
        <w:jc w:val="left"/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  <w:t>A. Dataset</w:t>
      </w:r>
    </w:p>
    <w:p w14:paraId="1CB53E2E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A total of 471 questionnaires were collected from specialist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nurses. The demographic information was processed based on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different dependent variables, and detailed results are provided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in Appendix B for reference.</w:t>
      </w:r>
    </w:p>
    <w:p w14:paraId="389E17F6">
      <w:pPr>
        <w:spacing w:beforeLines="0" w:afterLines="0"/>
        <w:jc w:val="left"/>
        <w:rPr>
          <w:rFonts w:hint="eastAsia" w:ascii="Times New Roman" w:hAnsi="Times New Roman" w:eastAsia="NimbusRomNo9L-Regu" w:cs="Times New Roman"/>
          <w:sz w:val="24"/>
          <w:szCs w:val="24"/>
          <w:lang w:val="en-US" w:eastAsia="zh-CN"/>
        </w:rPr>
      </w:pPr>
    </w:p>
    <w:p w14:paraId="184D1B4D">
      <w:pPr>
        <w:spacing w:beforeLines="0" w:afterLines="0"/>
        <w:jc w:val="left"/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  <w:t>B. Model and Hyperparameter Selection Result</w:t>
      </w:r>
    </w:p>
    <w:p w14:paraId="0EBA05E1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Through cross-validation of all candidate machine learning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models, the MLPClassifier emerged as the best-performing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model. The Area Under the Curve (AUC) results for each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model, using their optimal hyperparameters, are summarized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in Table I. The optimal hyperparameter values for the MLPClassifier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are presented in Table II. The best hyperparameter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configurations for the other models can be found in Appendix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C.</w:t>
      </w:r>
    </w:p>
    <w:p w14:paraId="0D909217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47DB0633">
      <w:pPr>
        <w:spacing w:beforeLines="0" w:afterLines="0"/>
        <w:jc w:val="left"/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  <w:t>TABLE I</w:t>
      </w:r>
    </w:p>
    <w:p w14:paraId="6BBFF895">
      <w:pPr>
        <w:spacing w:beforeLines="0" w:afterLines="0"/>
        <w:jc w:val="left"/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  <w:t>AUC SCORES FOR CANDIDATE MODELS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621"/>
        <w:gridCol w:w="4621"/>
      </w:tblGrid>
      <w:tr w14:paraId="500DB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21" w:type="dxa"/>
          </w:tcPr>
          <w:p w14:paraId="4EFF1558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 xml:space="preserve">Model Name   </w:t>
            </w:r>
          </w:p>
        </w:tc>
        <w:tc>
          <w:tcPr>
            <w:tcW w:w="4621" w:type="dxa"/>
          </w:tcPr>
          <w:p w14:paraId="3286BA94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AUC</w:t>
            </w:r>
          </w:p>
        </w:tc>
      </w:tr>
      <w:tr w14:paraId="0A35A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21" w:type="dxa"/>
          </w:tcPr>
          <w:p w14:paraId="42115E76">
            <w:pPr>
              <w:spacing w:beforeLines="0" w:afterLines="0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Random Forest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en-US" w:eastAsia="zh-CN"/>
              </w:rPr>
              <w:t xml:space="preserve"> Classifier</w:t>
            </w:r>
          </w:p>
        </w:tc>
        <w:tc>
          <w:tcPr>
            <w:tcW w:w="4621" w:type="dxa"/>
          </w:tcPr>
          <w:p w14:paraId="5A2524A0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 xml:space="preserve"> 0.708</w:t>
            </w:r>
          </w:p>
        </w:tc>
      </w:tr>
      <w:tr w14:paraId="08AFE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21" w:type="dxa"/>
          </w:tcPr>
          <w:p w14:paraId="2D5FF3F1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XGBoost</w:t>
            </w:r>
          </w:p>
        </w:tc>
        <w:tc>
          <w:tcPr>
            <w:tcW w:w="4621" w:type="dxa"/>
          </w:tcPr>
          <w:p w14:paraId="44186938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0.691</w:t>
            </w:r>
          </w:p>
        </w:tc>
      </w:tr>
      <w:tr w14:paraId="1496D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21" w:type="dxa"/>
          </w:tcPr>
          <w:p w14:paraId="6056BB83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 xml:space="preserve"> MLP Classifier</w:t>
            </w:r>
          </w:p>
        </w:tc>
        <w:tc>
          <w:tcPr>
            <w:tcW w:w="4621" w:type="dxa"/>
          </w:tcPr>
          <w:p w14:paraId="1B886AE0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0.720</w:t>
            </w:r>
          </w:p>
        </w:tc>
      </w:tr>
      <w:tr w14:paraId="12E13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21" w:type="dxa"/>
          </w:tcPr>
          <w:p w14:paraId="1F825C6A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AdaBoost</w:t>
            </w:r>
          </w:p>
        </w:tc>
        <w:tc>
          <w:tcPr>
            <w:tcW w:w="4621" w:type="dxa"/>
          </w:tcPr>
          <w:p w14:paraId="4F2B2D2F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0.672</w:t>
            </w:r>
          </w:p>
        </w:tc>
      </w:tr>
      <w:tr w14:paraId="28BEF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21" w:type="dxa"/>
          </w:tcPr>
          <w:p w14:paraId="2C4CB250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LGBM Classifier</w:t>
            </w:r>
          </w:p>
        </w:tc>
        <w:tc>
          <w:tcPr>
            <w:tcW w:w="4621" w:type="dxa"/>
          </w:tcPr>
          <w:p w14:paraId="30D39A4B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0.713</w:t>
            </w:r>
          </w:p>
        </w:tc>
      </w:tr>
      <w:tr w14:paraId="1810C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21" w:type="dxa"/>
          </w:tcPr>
          <w:p w14:paraId="391DA9E4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CatBoost Classifier</w:t>
            </w:r>
          </w:p>
        </w:tc>
        <w:tc>
          <w:tcPr>
            <w:tcW w:w="4621" w:type="dxa"/>
          </w:tcPr>
          <w:p w14:paraId="7534B2AA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0.701</w:t>
            </w:r>
          </w:p>
        </w:tc>
      </w:tr>
    </w:tbl>
    <w:p w14:paraId="406B28CE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  <w:lang w:val="en-US" w:eastAsia="zh-CN"/>
        </w:rPr>
      </w:pPr>
    </w:p>
    <w:p w14:paraId="32A1F5C0">
      <w:pPr>
        <w:spacing w:beforeLines="0" w:afterLines="0"/>
        <w:jc w:val="left"/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  <w:t>TABLE II</w:t>
      </w:r>
    </w:p>
    <w:p w14:paraId="4D37624C">
      <w:pPr>
        <w:spacing w:beforeLines="0" w:afterLines="0"/>
        <w:jc w:val="left"/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  <w:t>BEST HYPERPARAMETER VALUES FOR MLPCLASSIFIER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621"/>
        <w:gridCol w:w="4621"/>
      </w:tblGrid>
      <w:tr w14:paraId="14695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21" w:type="dxa"/>
          </w:tcPr>
          <w:p w14:paraId="754D636C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Hyperparameter Name</w:t>
            </w:r>
          </w:p>
        </w:tc>
        <w:tc>
          <w:tcPr>
            <w:tcW w:w="4621" w:type="dxa"/>
          </w:tcPr>
          <w:p w14:paraId="222C7173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Value</w:t>
            </w:r>
          </w:p>
        </w:tc>
      </w:tr>
      <w:tr w14:paraId="01B60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21" w:type="dxa"/>
          </w:tcPr>
          <w:p w14:paraId="6ED292FA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Standard scalar enabled</w:t>
            </w:r>
          </w:p>
        </w:tc>
        <w:tc>
          <w:tcPr>
            <w:tcW w:w="4621" w:type="dxa"/>
          </w:tcPr>
          <w:p w14:paraId="5412D31C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False</w:t>
            </w:r>
          </w:p>
        </w:tc>
      </w:tr>
      <w:tr w14:paraId="700C7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21" w:type="dxa"/>
          </w:tcPr>
          <w:p w14:paraId="005A3C02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One-hot encoder enabled</w:t>
            </w:r>
          </w:p>
        </w:tc>
        <w:tc>
          <w:tcPr>
            <w:tcW w:w="4621" w:type="dxa"/>
          </w:tcPr>
          <w:p w14:paraId="59A6A6B2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True</w:t>
            </w:r>
          </w:p>
        </w:tc>
      </w:tr>
      <w:tr w14:paraId="7E815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21" w:type="dxa"/>
          </w:tcPr>
          <w:p w14:paraId="0F097C15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Feature selection enabled</w:t>
            </w:r>
          </w:p>
        </w:tc>
        <w:tc>
          <w:tcPr>
            <w:tcW w:w="4621" w:type="dxa"/>
          </w:tcPr>
          <w:p w14:paraId="5997B0DF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False</w:t>
            </w:r>
          </w:p>
        </w:tc>
      </w:tr>
      <w:tr w14:paraId="19FFA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21" w:type="dxa"/>
          </w:tcPr>
          <w:p w14:paraId="7FDCBB12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SMOTE enabled</w:t>
            </w:r>
          </w:p>
        </w:tc>
        <w:tc>
          <w:tcPr>
            <w:tcW w:w="4621" w:type="dxa"/>
          </w:tcPr>
          <w:p w14:paraId="6A099432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True</w:t>
            </w:r>
          </w:p>
        </w:tc>
      </w:tr>
      <w:tr w14:paraId="331B3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21" w:type="dxa"/>
          </w:tcPr>
          <w:p w14:paraId="589FA705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en-US" w:eastAsia="zh-CN"/>
              </w:rPr>
              <w:t>h</w:t>
            </w: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idden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en-US" w:eastAsia="zh-CN"/>
              </w:rPr>
              <w:t>_</w:t>
            </w: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layer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en-US" w:eastAsia="zh-CN"/>
              </w:rPr>
              <w:t>_</w:t>
            </w: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sizes</w:t>
            </w:r>
          </w:p>
        </w:tc>
        <w:tc>
          <w:tcPr>
            <w:tcW w:w="4621" w:type="dxa"/>
          </w:tcPr>
          <w:p w14:paraId="7E67BBB9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50</w:t>
            </w:r>
          </w:p>
        </w:tc>
      </w:tr>
      <w:tr w14:paraId="457A1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21" w:type="dxa"/>
          </w:tcPr>
          <w:p w14:paraId="68D3D2A6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activation</w:t>
            </w:r>
          </w:p>
        </w:tc>
        <w:tc>
          <w:tcPr>
            <w:tcW w:w="4621" w:type="dxa"/>
          </w:tcPr>
          <w:p w14:paraId="189FBDB5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‘logistic’</w:t>
            </w:r>
          </w:p>
        </w:tc>
      </w:tr>
      <w:tr w14:paraId="477B5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21" w:type="dxa"/>
          </w:tcPr>
          <w:p w14:paraId="57568D3E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solver</w:t>
            </w:r>
          </w:p>
        </w:tc>
        <w:tc>
          <w:tcPr>
            <w:tcW w:w="4621" w:type="dxa"/>
          </w:tcPr>
          <w:p w14:paraId="20828F91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‘adam’</w:t>
            </w:r>
          </w:p>
        </w:tc>
      </w:tr>
      <w:tr w14:paraId="1387C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21" w:type="dxa"/>
          </w:tcPr>
          <w:p w14:paraId="1E8FEDC3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 xml:space="preserve">alpha </w:t>
            </w:r>
          </w:p>
        </w:tc>
        <w:tc>
          <w:tcPr>
            <w:tcW w:w="4621" w:type="dxa"/>
          </w:tcPr>
          <w:p w14:paraId="3B38A7A0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0.003155</w:t>
            </w:r>
          </w:p>
        </w:tc>
      </w:tr>
      <w:tr w14:paraId="30225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21" w:type="dxa"/>
          </w:tcPr>
          <w:p w14:paraId="40A548FB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SimSun" w:cs="Times New Roman"/>
                <w:sz w:val="24"/>
                <w:szCs w:val="24"/>
                <w:lang w:val="en-US" w:eastAsia="zh-CN"/>
              </w:rPr>
              <w:t>l</w:t>
            </w: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earning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en-US" w:eastAsia="zh-CN"/>
              </w:rPr>
              <w:t>_</w:t>
            </w: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rate</w:t>
            </w:r>
          </w:p>
        </w:tc>
        <w:tc>
          <w:tcPr>
            <w:tcW w:w="4621" w:type="dxa"/>
          </w:tcPr>
          <w:p w14:paraId="757C87D6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‘constant’</w:t>
            </w:r>
          </w:p>
        </w:tc>
      </w:tr>
      <w:tr w14:paraId="188D7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21" w:type="dxa"/>
          </w:tcPr>
          <w:p w14:paraId="7026E943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max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en-US" w:eastAsia="zh-CN"/>
              </w:rPr>
              <w:t>_</w:t>
            </w: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iter</w:t>
            </w:r>
          </w:p>
        </w:tc>
        <w:tc>
          <w:tcPr>
            <w:tcW w:w="4621" w:type="dxa"/>
          </w:tcPr>
          <w:p w14:paraId="71BA67C0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102</w:t>
            </w:r>
          </w:p>
        </w:tc>
      </w:tr>
    </w:tbl>
    <w:p w14:paraId="67FA2AB5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  <w:lang w:val="en-US" w:eastAsia="zh-CN"/>
        </w:rPr>
      </w:pPr>
    </w:p>
    <w:p w14:paraId="300EBA22">
      <w:pPr>
        <w:spacing w:beforeLines="0" w:afterLines="0"/>
        <w:jc w:val="left"/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  <w:t>C. Test Result</w:t>
      </w:r>
    </w:p>
    <w:p w14:paraId="0C50D1B1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After selecting the MLPClassifier as the final model, we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trained it using the hyperparameters listed above. The model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was then tested against a reserved test set, and its performance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was evaluated using various metrics. The results are summarized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in Table III.</w:t>
      </w:r>
    </w:p>
    <w:p w14:paraId="5DF66F65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0EA8B7A7">
      <w:pPr>
        <w:spacing w:beforeLines="0" w:afterLines="0"/>
        <w:jc w:val="left"/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  <w:t>TABLE III</w:t>
      </w:r>
    </w:p>
    <w:p w14:paraId="5BEA6536">
      <w:pPr>
        <w:spacing w:beforeLines="0" w:afterLines="0"/>
        <w:jc w:val="left"/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  <w:t>PERFORMANCE METRIC VALUES OF THE TRAINED MODEL</w:t>
      </w:r>
    </w:p>
    <w:p w14:paraId="2E9F257F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621"/>
        <w:gridCol w:w="4621"/>
      </w:tblGrid>
      <w:tr w14:paraId="0A112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21" w:type="dxa"/>
          </w:tcPr>
          <w:p w14:paraId="7217D905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 xml:space="preserve">Metric Name  </w:t>
            </w:r>
          </w:p>
        </w:tc>
        <w:tc>
          <w:tcPr>
            <w:tcW w:w="4621" w:type="dxa"/>
          </w:tcPr>
          <w:p w14:paraId="7ADAC8F5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Value</w:t>
            </w:r>
          </w:p>
        </w:tc>
      </w:tr>
      <w:tr w14:paraId="34625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621" w:type="dxa"/>
          </w:tcPr>
          <w:p w14:paraId="767F0758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AUC</w:t>
            </w:r>
          </w:p>
        </w:tc>
        <w:tc>
          <w:tcPr>
            <w:tcW w:w="4621" w:type="dxa"/>
          </w:tcPr>
          <w:p w14:paraId="587C9F34">
            <w:pPr>
              <w:spacing w:beforeLines="0" w:afterLines="0"/>
              <w:jc w:val="left"/>
              <w:rPr>
                <w:rFonts w:hint="eastAsia" w:ascii="Times New Roman" w:hAnsi="Times New Roman" w:eastAsia="SimSu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0.71</w:t>
            </w:r>
            <w:r>
              <w:rPr>
                <w:rFonts w:hint="eastAsia" w:ascii="Times New Roman" w:hAnsi="Times New Roman" w:eastAsia="SimSun" w:cs="Times New Roman"/>
                <w:sz w:val="24"/>
                <w:szCs w:val="24"/>
                <w:lang w:val="en-US" w:eastAsia="zh-CN"/>
              </w:rPr>
              <w:t>3</w:t>
            </w:r>
          </w:p>
        </w:tc>
      </w:tr>
      <w:tr w14:paraId="46CF4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21" w:type="dxa"/>
          </w:tcPr>
          <w:p w14:paraId="57B8C187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F1 Score</w:t>
            </w:r>
          </w:p>
        </w:tc>
        <w:tc>
          <w:tcPr>
            <w:tcW w:w="4621" w:type="dxa"/>
          </w:tcPr>
          <w:p w14:paraId="478E5CEE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0.761</w:t>
            </w:r>
          </w:p>
        </w:tc>
      </w:tr>
      <w:tr w14:paraId="1FEC3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621" w:type="dxa"/>
          </w:tcPr>
          <w:p w14:paraId="1D462529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 xml:space="preserve">Sensitivity </w:t>
            </w:r>
          </w:p>
        </w:tc>
        <w:tc>
          <w:tcPr>
            <w:tcW w:w="4621" w:type="dxa"/>
          </w:tcPr>
          <w:p w14:paraId="4DBD5719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0.680</w:t>
            </w:r>
          </w:p>
        </w:tc>
      </w:tr>
      <w:tr w14:paraId="292EB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21" w:type="dxa"/>
          </w:tcPr>
          <w:p w14:paraId="36057BAC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Accuracy</w:t>
            </w:r>
          </w:p>
        </w:tc>
        <w:tc>
          <w:tcPr>
            <w:tcW w:w="4621" w:type="dxa"/>
          </w:tcPr>
          <w:p w14:paraId="61964853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0.663</w:t>
            </w:r>
          </w:p>
        </w:tc>
      </w:tr>
      <w:tr w14:paraId="7C254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0" w:hRule="atLeast"/>
        </w:trPr>
        <w:tc>
          <w:tcPr>
            <w:tcW w:w="4621" w:type="dxa"/>
          </w:tcPr>
          <w:p w14:paraId="49FCEF3F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 xml:space="preserve">Specificity </w:t>
            </w:r>
          </w:p>
        </w:tc>
        <w:tc>
          <w:tcPr>
            <w:tcW w:w="4621" w:type="dxa"/>
          </w:tcPr>
          <w:p w14:paraId="09FE1A3A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0.600</w:t>
            </w:r>
          </w:p>
        </w:tc>
      </w:tr>
      <w:tr w14:paraId="1BAFC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621" w:type="dxa"/>
          </w:tcPr>
          <w:p w14:paraId="460672D3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Youden’s J Score</w:t>
            </w:r>
          </w:p>
        </w:tc>
        <w:tc>
          <w:tcPr>
            <w:tcW w:w="4621" w:type="dxa"/>
          </w:tcPr>
          <w:p w14:paraId="38D49AE8">
            <w:pPr>
              <w:spacing w:beforeLines="0" w:afterLines="0"/>
              <w:jc w:val="left"/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NimbusRomNo9L-Regu" w:cs="Times New Roman"/>
                <w:sz w:val="24"/>
                <w:szCs w:val="24"/>
              </w:rPr>
              <w:t>0.280</w:t>
            </w:r>
          </w:p>
        </w:tc>
      </w:tr>
    </w:tbl>
    <w:p w14:paraId="1125C177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  <w:lang w:val="en-US" w:eastAsia="zh-CN"/>
        </w:rPr>
      </w:pPr>
    </w:p>
    <w:p w14:paraId="22CD3EDD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The ROC curve is shown in Figure 2.</w:t>
      </w:r>
    </w:p>
    <w:p w14:paraId="187366DE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52BBD56A">
      <w:pPr>
        <w:spacing w:beforeLines="0" w:afterLines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4404360" cy="345186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04360" cy="345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17239">
      <w:pPr>
        <w:spacing w:beforeLines="0" w:afterLines="0"/>
        <w:jc w:val="left"/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  <w:t>Fig. 2. The Receiver Operating Characteristic Curve of the Final Model</w:t>
      </w:r>
    </w:p>
    <w:p w14:paraId="168BB9DC">
      <w:pPr>
        <w:spacing w:beforeLines="0" w:afterLines="0"/>
        <w:jc w:val="left"/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</w:pPr>
    </w:p>
    <w:p w14:paraId="080A53FD">
      <w:pPr>
        <w:spacing w:beforeLines="0" w:afterLines="0"/>
        <w:jc w:val="left"/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  <w:t>D. SHAP Feature Importance Analysis Result</w:t>
      </w:r>
    </w:p>
    <w:p w14:paraId="6807D00B">
      <w:pPr>
        <w:spacing w:beforeLines="0" w:afterLines="0"/>
        <w:jc w:val="left"/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We calculated the SHAP values of the test data using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the trained MLPClassifier model. The resulting visualizations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include a summary violin plot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zh-CN"/>
        </w:rPr>
        <w:t xml:space="preserve"> (Figure 3)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, a bar plot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zh-CN"/>
        </w:rPr>
        <w:t xml:space="preserve"> (Figure 4)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, and four waterfall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Plots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zh-CN"/>
        </w:rPr>
        <w:t xml:space="preserve"> (Figure 5)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 xml:space="preserve"> corresponding to the first four test samples.</w:t>
      </w:r>
    </w:p>
    <w:p w14:paraId="243AE576">
      <w:pPr>
        <w:spacing w:beforeLines="0" w:afterLines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724525" cy="2748280"/>
            <wp:effectExtent l="0" t="0" r="5715" b="1016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274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A64A9">
      <w:pPr>
        <w:spacing w:beforeLines="0" w:afterLines="0"/>
        <w:jc w:val="left"/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  <w:t>Fig. 3. The summary violin plot of SHAP values of the trained model</w:t>
      </w:r>
    </w:p>
    <w:p w14:paraId="3B27F23B">
      <w:pPr>
        <w:spacing w:beforeLines="0" w:afterLines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727065" cy="3195320"/>
            <wp:effectExtent l="0" t="0" r="3175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7065" cy="319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428F8">
      <w:pPr>
        <w:spacing w:beforeLines="0" w:afterLines="0"/>
        <w:jc w:val="left"/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  <w:t>Fig. 4. The bar plot of SHAP values of the trained model</w:t>
      </w:r>
    </w:p>
    <w:p w14:paraId="4989679C">
      <w:pPr>
        <w:spacing w:beforeLines="0" w:afterLines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2736215" cy="1534160"/>
            <wp:effectExtent l="0" t="0" r="6985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36215" cy="153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2682875" cy="1504950"/>
            <wp:effectExtent l="0" t="0" r="14605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828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06A61">
      <w:pPr>
        <w:spacing w:beforeLines="0" w:afterLines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2193290" cy="1229995"/>
            <wp:effectExtent l="0" t="0" r="127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93290" cy="122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3001645" cy="1682750"/>
            <wp:effectExtent l="0" t="0" r="635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01645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0CAE2">
      <w:pPr>
        <w:spacing w:beforeLines="0" w:afterLines="0"/>
        <w:jc w:val="left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  <w:t>Fig. 5. SHAP waterfall plots for the first 4 test samples</w:t>
      </w:r>
    </w:p>
    <w:p w14:paraId="2328BD15">
      <w:pPr>
        <w:spacing w:beforeLines="0" w:afterLines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0746E31D">
      <w:pPr>
        <w:spacing w:beforeLines="0" w:afterLines="0"/>
        <w:jc w:val="left"/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  <w:t>1) Key Features:</w:t>
      </w:r>
      <w:r>
        <w:rPr>
          <w:rFonts w:hint="default" w:ascii="Times New Roman" w:hAnsi="Times New Roman" w:eastAsia="NimbusRomNo9L-ReguItal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From the violin and bar plots, we observe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that the five most important features influencing the model are: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</w:p>
    <w:p w14:paraId="4E0E87B6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CMSY7" w:cs="Times New Roman"/>
          <w:sz w:val="24"/>
          <w:szCs w:val="24"/>
        </w:rPr>
        <w:t xml:space="preserve">•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Average Number of Clinical Teaching/Training Activities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Participated in per Year</w:t>
      </w:r>
    </w:p>
    <w:p w14:paraId="348F4A14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CMSY7" w:cs="Times New Roman"/>
          <w:sz w:val="24"/>
          <w:szCs w:val="24"/>
        </w:rPr>
        <w:t xml:space="preserve">•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Number of Specialist Trainings/Continuing Education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Attended</w:t>
      </w:r>
    </w:p>
    <w:p w14:paraId="2BF48969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CMSY7" w:cs="Times New Roman"/>
          <w:sz w:val="24"/>
          <w:szCs w:val="24"/>
        </w:rPr>
        <w:t xml:space="preserve">•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Monthly Night Shift Frequency</w:t>
      </w:r>
    </w:p>
    <w:p w14:paraId="0F1107BE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CMSY7" w:cs="Times New Roman"/>
          <w:sz w:val="24"/>
          <w:szCs w:val="24"/>
        </w:rPr>
        <w:t xml:space="preserve">•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Satisfaction with Performance Distribution</w:t>
      </w:r>
    </w:p>
    <w:p w14:paraId="373F0ED4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CMSY7" w:cs="Times New Roman"/>
          <w:sz w:val="24"/>
          <w:szCs w:val="24"/>
        </w:rPr>
        <w:t xml:space="preserve">•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Years of Work Experience</w:t>
      </w:r>
    </w:p>
    <w:p w14:paraId="50A6B778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18AD2E61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  <w:t xml:space="preserve">2) Interpreting the SHAP Violin Plot: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The SHAP violin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plot highlights the relative importance of each feature and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its impact on the model’s output. The y-axis labels display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each feature’s name, with features marked by “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>_*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” indicating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one-hot-encoded categorical variables. For binary categorical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features, those ending in “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>_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1” indicate a ”true” evaluation,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while those ending in “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>_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0” indicate ”false.”</w:t>
      </w:r>
    </w:p>
    <w:p w14:paraId="06C4490B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2D1B9CDE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The violins are color-coded: red for high feature values, blue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for low. Red colors to the right of the central gray line show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features with a positive correlation to the output, while blue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colors to the left indicate negative correlations. For example,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the feature “Satisfaction with Performance Distribution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>_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1” has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red values on the right and blue values on the left, indicating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that high values increase the likelihood of job transfer, while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low values reduce it.</w:t>
      </w:r>
    </w:p>
    <w:p w14:paraId="254FE598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683385D4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  <w:t xml:space="preserve">3) Interpreting the SHAP Waterfall Plot: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In the waterfall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plot, arrows represent the impact of features on the model’s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prediction, starting from the base value. Red arrows pointing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to the right indicate a positive contribution to the prediction,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while blue arrows pointing to the left indicate a negative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contribution. The arrow length reflects the magnitude of each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feature’s contribution.</w:t>
      </w:r>
    </w:p>
    <w:p w14:paraId="700938EE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11516F1A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  <w:t xml:space="preserve">4) Correlations of Key Features: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The SHAP violin plot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shows that “Average Number of Clinical Teaching/Training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Activities,” “Number of Specialist Trainings,” and “Satisfaction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with Performance Distribution” positively correlate with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job transfer, while “Monthly Night Shift Frequency” and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“Years of Work Experience” negatively correlate.</w:t>
      </w:r>
    </w:p>
    <w:p w14:paraId="51CC75F0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24CDAE39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Some results are counterintuitive. For instance, nurses who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are satisfied with performance distribution are expected to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remain in their current positions. However, the model suggests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the opposite. This anomaly could be due to factors such as sarcastic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responses from participants or biases in the data, as most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respondents reported high satisfaction. Further investigation is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needed to verify these conclusions.</w:t>
      </w:r>
    </w:p>
    <w:p w14:paraId="71F82050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0C123A1C">
      <w:pPr>
        <w:spacing w:beforeLines="0" w:afterLines="0"/>
        <w:jc w:val="left"/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  <w:t>VI. DISCUSSION</w:t>
      </w:r>
    </w:p>
    <w:p w14:paraId="34B33DD8">
      <w:pPr>
        <w:spacing w:beforeLines="0" w:afterLines="0"/>
        <w:jc w:val="left"/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  <w:t>A. Controversy in Data Preprocessing</w:t>
      </w:r>
    </w:p>
    <w:p w14:paraId="1F131373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We followed a standard data preprocessing workflow within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the cross-validation stage, including oversampling to balance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the class distribution. This approach prevents data leakage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and avoids overestimating the model’s performance [12] [13].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However, given the strong class imbalance, this might underestimate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the model’s performance. Some studies support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oversampling before the train-test split when dealing with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biased data [14], yielding better results with higher AUC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scores (above 0.9). However, no concrete justification or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guidelines exist for this approach. We opted for the standard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method to avoid potential data leakage from the synthetic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data created during SMOTE, acknowledging a possible slight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underestimation of the model’s performance.</w:t>
      </w:r>
    </w:p>
    <w:p w14:paraId="10051DAC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00BFE085">
      <w:pPr>
        <w:spacing w:beforeLines="0" w:afterLines="0"/>
        <w:jc w:val="left"/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  <w:t>B. Performance Metric Evaluation</w:t>
      </w:r>
    </w:p>
    <w:p w14:paraId="6792B0A4">
      <w:pPr>
        <w:spacing w:beforeLines="0" w:afterLines="0"/>
        <w:jc w:val="left"/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Our final model achieved an AUC score of 0.713, lower than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expected. This could be attributed to class imbalance or weak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correlations between selected features and the target variable.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All candidate models reached an AUC ceiling around 0.7,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suggesting data quality may be limiting performance. Future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improvements could involve collecting higher-quality data and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refining feature selection.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</w:p>
    <w:p w14:paraId="1CA55529">
      <w:pPr>
        <w:spacing w:beforeLines="0" w:afterLines="0"/>
        <w:jc w:val="left"/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</w:pPr>
    </w:p>
    <w:p w14:paraId="4A2C75C6">
      <w:pPr>
        <w:spacing w:beforeLines="0" w:afterLines="0"/>
        <w:jc w:val="left"/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NimbusRomNo9L-ReguItal" w:cs="Times New Roman"/>
          <w:b/>
          <w:bCs/>
          <w:sz w:val="24"/>
          <w:szCs w:val="24"/>
        </w:rPr>
        <w:t>C. SHAP Analysis Anomalies</w:t>
      </w:r>
    </w:p>
    <w:p w14:paraId="41675FB8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The SHAP analysis revealed some unexpected correlations,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such as nurses satisfied with performance distribution being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more likely to transfer. This could stem from the class imbalance,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where the model learns incorrect patterns due to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insufficient information about minority classes. Alternatively,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the correlations may be accurate, reflecting deeper, unexplored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factors. Further research is needed to investigate these anomalies.</w:t>
      </w:r>
    </w:p>
    <w:p w14:paraId="0B9C9C82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0F589766">
      <w:pPr>
        <w:spacing w:beforeLines="0" w:afterLines="0"/>
        <w:jc w:val="left"/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  <w:t>VII. CONCLUSION</w:t>
      </w:r>
    </w:p>
    <w:p w14:paraId="144343AE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In this study, we developed a machine learning model to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predict the transfer tendencies of specialist nurses using various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classification algorithms. We employed feature importance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analysis using SHAP values to better understand the impact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of each feature on the model’s predictions. Through cross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validation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and hyperparameter optimization, the MLPClassifier</w:t>
      </w:r>
    </w:p>
    <w:p w14:paraId="22C24A46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demonstrated moderate performance, achieving an AUC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score of 0.713.</w:t>
      </w:r>
    </w:p>
    <w:p w14:paraId="303B00B1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17A80C28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Despite the performance limitations, the feature importance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analysis highlighted key predictors of nurse transfer intentions,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including clinical teaching participation, specialist training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attendance, and job satisfaction. However, some findings were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counterintuitive, such as the positive correlation between satisfaction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with performance distribution and transfer likelihood.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These anomalies could be due to class imbalances, potential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biases in the data, or underlying factors not fully captured in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our study.</w:t>
      </w:r>
    </w:p>
    <w:p w14:paraId="6A61865F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60CBFC96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Our investigation into the data preprocessing workflow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emphasized the importance of adhering to standard practices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to avoid data leakage, despite the risk of underestimating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model performance in highly imbalanced datasets. While oversampling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before splitting the train/test data could potentially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yield higher AUC scores, we prioritized a more conservative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approach to maintain the integrity of the evaluation process.</w:t>
      </w:r>
    </w:p>
    <w:p w14:paraId="55CDDA8D">
      <w:pPr>
        <w:spacing w:beforeLines="0" w:afterLines="0"/>
        <w:jc w:val="left"/>
        <w:rPr>
          <w:rFonts w:hint="eastAsia" w:ascii="Times New Roman" w:hAnsi="Times New Roman" w:eastAsia="NimbusRomNo9L-Regu" w:cs="Times New Roman"/>
          <w:sz w:val="24"/>
          <w:szCs w:val="24"/>
          <w:lang w:val="en-US" w:eastAsia="zh-CN"/>
        </w:rPr>
      </w:pPr>
    </w:p>
    <w:p w14:paraId="52E31633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Moving forward, future work should focus on collecting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more representative and balanced datasets, refining feature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selection, and exploring the deeper reasons behind unexpected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correlations in SHAP analysis. Such efforts would help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improve the model’s accuracy and provide more actionable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insights for hospitals to manage nurse retention more effectively.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By addressing these challenges, we aim to contribute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to reducing the specialist nurse shortage through proactive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workforce management strategies.</w:t>
      </w:r>
    </w:p>
    <w:p w14:paraId="6DFEACFB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214529DE">
      <w:pPr>
        <w:spacing w:beforeLines="0" w:afterLines="0"/>
        <w:jc w:val="left"/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  <w:t>REFERENCES</w:t>
      </w:r>
    </w:p>
    <w:p w14:paraId="0895A4E1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 xml:space="preserve">[1] W. H. Organization </w:t>
      </w:r>
      <w:r>
        <w:rPr>
          <w:rFonts w:hint="default" w:ascii="Times New Roman" w:hAnsi="Times New Roman" w:eastAsia="NimbusRomNo9L-ReguItal" w:cs="Times New Roman"/>
          <w:sz w:val="24"/>
          <w:szCs w:val="24"/>
        </w:rPr>
        <w:t>et al.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, “Global strategy on human resources for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health: workforce 2030,” 2016.</w:t>
      </w:r>
    </w:p>
    <w:p w14:paraId="54904594">
      <w:pPr>
        <w:spacing w:beforeLines="0" w:afterLines="0"/>
        <w:jc w:val="left"/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 xml:space="preserve">[2] OECD, </w:t>
      </w:r>
      <w:r>
        <w:rPr>
          <w:rFonts w:hint="default" w:ascii="Times New Roman" w:hAnsi="Times New Roman" w:eastAsia="NimbusRomNo9L-ReguItal" w:cs="Times New Roman"/>
          <w:sz w:val="24"/>
          <w:szCs w:val="24"/>
        </w:rPr>
        <w:t>Health at a Glance 2023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, 2023. [Online]. Available: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fldChar w:fldCharType="begin"/>
      </w:r>
      <w:r>
        <w:rPr>
          <w:rFonts w:hint="default" w:ascii="Times New Roman" w:hAnsi="Times New Roman" w:eastAsia="NimbusRomNo9L-Regu" w:cs="Times New Roman"/>
          <w:sz w:val="24"/>
          <w:szCs w:val="24"/>
        </w:rPr>
        <w:instrText xml:space="preserve"> HYPERLINK "https://www.oecd-ilibrary.org/content/publication/7a7afb35-en" </w:instrText>
      </w:r>
      <w:r>
        <w:rPr>
          <w:rFonts w:hint="default" w:ascii="Times New Roman" w:hAnsi="Times New Roman" w:eastAsia="NimbusRomNo9L-Regu" w:cs="Times New Roman"/>
          <w:sz w:val="24"/>
          <w:szCs w:val="24"/>
        </w:rPr>
        <w:fldChar w:fldCharType="separate"/>
      </w:r>
      <w:r>
        <w:rPr>
          <w:rStyle w:val="5"/>
          <w:rFonts w:hint="default" w:ascii="Times New Roman" w:hAnsi="Times New Roman" w:eastAsia="NimbusRomNo9L-Regu" w:cs="Times New Roman"/>
          <w:sz w:val="24"/>
          <w:szCs w:val="24"/>
        </w:rPr>
        <w:t>https://www.oecd-ilibrary.org/content/publication/7a7afb35-en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fldChar w:fldCharType="end"/>
      </w:r>
    </w:p>
    <w:p w14:paraId="39B48566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[3] P. Toyin-Thomas, P. Ikhurionan, E. E. Omoyibo, C. Iwegim, A. O.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Ukueku, J. Okpere, U. C. Nnawuihe, J. Atat, U. Otakhoigbogie,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E. V. Orikpete, F. Erhiawarie, E. O. Gbejewoh, U. Odogu,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I. C. G. Akhirevbulu, Y. K. Kwarshak, and O. Wariri, “Drivers of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health workers’ migration, intention to migrate and non-migration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from low/middle-income countries, 1970–2022: a systematic review,”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Ital" w:cs="Times New Roman"/>
          <w:sz w:val="24"/>
          <w:szCs w:val="24"/>
        </w:rPr>
        <w:t>BMJ Global Health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, vol. 8, no. 5, 2023. [Online]. Available: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fldChar w:fldCharType="begin"/>
      </w:r>
      <w:r>
        <w:rPr>
          <w:rFonts w:hint="default" w:ascii="Times New Roman" w:hAnsi="Times New Roman" w:eastAsia="NimbusRomNo9L-Regu" w:cs="Times New Roman"/>
          <w:sz w:val="24"/>
          <w:szCs w:val="24"/>
        </w:rPr>
        <w:instrText xml:space="preserve"> HYPERLINK "https://gh.bmj.com/content/8/5/e012338" </w:instrText>
      </w:r>
      <w:r>
        <w:rPr>
          <w:rFonts w:hint="default" w:ascii="Times New Roman" w:hAnsi="Times New Roman" w:eastAsia="NimbusRomNo9L-Regu" w:cs="Times New Roman"/>
          <w:sz w:val="24"/>
          <w:szCs w:val="24"/>
        </w:rPr>
        <w:fldChar w:fldCharType="separate"/>
      </w:r>
      <w:r>
        <w:rPr>
          <w:rStyle w:val="5"/>
          <w:rFonts w:hint="default" w:ascii="Times New Roman" w:hAnsi="Times New Roman" w:eastAsia="NimbusRomNo9L-Regu" w:cs="Times New Roman"/>
          <w:sz w:val="24"/>
          <w:szCs w:val="24"/>
        </w:rPr>
        <w:t>https://gh.bmj.com/content/8/5/e012338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fldChar w:fldCharType="end"/>
      </w:r>
    </w:p>
    <w:p w14:paraId="0B2A41ED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[4] T. Shuai, Y. Xuan, M. F. Jim´enez-Herrera, L. Yi, and X. Tian, “Moral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distress and compassion fatigue among nursing interns: a cross-sectional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study on the mediating roles of moral resilience and professional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 xml:space="preserve">identity,” </w:t>
      </w:r>
      <w:r>
        <w:rPr>
          <w:rFonts w:hint="default" w:ascii="Times New Roman" w:hAnsi="Times New Roman" w:eastAsia="NimbusRomNo9L-ReguItal" w:cs="Times New Roman"/>
          <w:sz w:val="24"/>
          <w:szCs w:val="24"/>
        </w:rPr>
        <w:t>BMC nursing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, vol. 23, no. 1, p. 638, 2024.</w:t>
      </w:r>
    </w:p>
    <w:p w14:paraId="42FB15CF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[5] W. H. O. R. O. for Europe, “Building resilience: a key pillar of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health 2020 and the sustainable development goals: examples from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the who european region,” World Health Organization, Tech. Rep.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WHO-EURO-2018-2374-42129-58024, 2018, accessed: 2024-10-16.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 xml:space="preserve">[Online]. Available: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fldChar w:fldCharType="begin"/>
      </w:r>
      <w:r>
        <w:rPr>
          <w:rFonts w:hint="default" w:ascii="Times New Roman" w:hAnsi="Times New Roman" w:eastAsia="NimbusRomNo9L-Regu" w:cs="Times New Roman"/>
          <w:sz w:val="24"/>
          <w:szCs w:val="24"/>
        </w:rPr>
        <w:instrText xml:space="preserve"> HYPERLINK "https://iris.who.int/bitstream/handle/10665/340820/" </w:instrText>
      </w:r>
      <w:r>
        <w:rPr>
          <w:rFonts w:hint="default" w:ascii="Times New Roman" w:hAnsi="Times New Roman" w:eastAsia="NimbusRomNo9L-Regu" w:cs="Times New Roman"/>
          <w:sz w:val="24"/>
          <w:szCs w:val="24"/>
        </w:rPr>
        <w:fldChar w:fldCharType="separate"/>
      </w:r>
      <w:r>
        <w:rPr>
          <w:rStyle w:val="5"/>
          <w:rFonts w:hint="default" w:ascii="Times New Roman" w:hAnsi="Times New Roman" w:eastAsia="NimbusRomNo9L-Regu" w:cs="Times New Roman"/>
          <w:sz w:val="24"/>
          <w:szCs w:val="24"/>
        </w:rPr>
        <w:t>https://iris.who.int/bitstream/handle/10665/340820/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fldChar w:fldCharType="end"/>
      </w:r>
      <w:r>
        <w:rPr>
          <w:rFonts w:hint="default" w:ascii="Times New Roman" w:hAnsi="Times New Roman" w:eastAsia="NimbusRomNo9L-Regu" w:cs="Times New Roman"/>
          <w:sz w:val="24"/>
          <w:szCs w:val="24"/>
        </w:rPr>
        <w:t>WHO-EURO-2018-2374-42129-58024-eng.pdf?sequence=1</w:t>
      </w:r>
    </w:p>
    <w:p w14:paraId="0F687A35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[6] S.-K. Kim, E.-J. Kim, H.-K. Kim, S.-S. Song, B.-N. Park, and K.-W.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Jo, “Development of a nurse turnover prediction model in korea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 xml:space="preserve">using machine learning,” </w:t>
      </w:r>
      <w:r>
        <w:rPr>
          <w:rFonts w:hint="default" w:ascii="Times New Roman" w:hAnsi="Times New Roman" w:eastAsia="NimbusRomNo9L-ReguItal" w:cs="Times New Roman"/>
          <w:sz w:val="24"/>
          <w:szCs w:val="24"/>
        </w:rPr>
        <w:t>Healthcare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, vol. 11, no. 11, 2023. [Online].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Available: https://www.mdpi.com/2227-9032/11/11/1583</w:t>
      </w:r>
    </w:p>
    <w:p w14:paraId="64CA56EA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[7] E. Ayalew, Y. Workineh, A. Semachew, T. Woldgiorgies, S. Kerie,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H. Gedamu, and B. Zeleke, “Nurses’ intention to leave their job in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 xml:space="preserve">sub-saharan africa: A systematic review and meta-analysis,” </w:t>
      </w:r>
      <w:r>
        <w:rPr>
          <w:rFonts w:hint="default" w:ascii="Times New Roman" w:hAnsi="Times New Roman" w:eastAsia="NimbusRomNo9L-ReguItal" w:cs="Times New Roman"/>
          <w:sz w:val="24"/>
          <w:szCs w:val="24"/>
        </w:rPr>
        <w:t>Heliyon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,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vol. 7, no. 6, 2021.</w:t>
      </w:r>
    </w:p>
    <w:p w14:paraId="2BFE30B0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[8] Y. Wang and H. Yuan, “What is behind high turnover: a questionnaire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 xml:space="preserve">survey of hospital nursing care workers in shanghai, china,” </w:t>
      </w:r>
      <w:r>
        <w:rPr>
          <w:rFonts w:hint="default" w:ascii="Times New Roman" w:hAnsi="Times New Roman" w:eastAsia="NimbusRomNo9L-ReguItal" w:cs="Times New Roman"/>
          <w:sz w:val="24"/>
          <w:szCs w:val="24"/>
        </w:rPr>
        <w:t>BMC Health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Ital" w:cs="Times New Roman"/>
          <w:sz w:val="24"/>
          <w:szCs w:val="24"/>
        </w:rPr>
        <w:t>Services Research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, vol. 18, pp. 1–7, 2018.</w:t>
      </w:r>
    </w:p>
    <w:p w14:paraId="2C6F7C44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[9] A. Dewanto and V. Wardhani, “Nurse turnover and perceived causes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and consequences: a preliminary study at private hospitals in indonesia,”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Ital" w:cs="Times New Roman"/>
          <w:sz w:val="24"/>
          <w:szCs w:val="24"/>
        </w:rPr>
        <w:t>BMC nursing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, vol. 17, pp. 1–7, 2018.</w:t>
      </w:r>
    </w:p>
    <w:p w14:paraId="74FD17EF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[10] P. Kumar, S. B. Gaikwad, S. T. Ramya, T. Tiwari, M. Tiwari,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and B. Kumar, “Predicting employee turnover: A systematic machine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learning approach for resource conservation and workforce stability,”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Ital" w:cs="Times New Roman"/>
          <w:sz w:val="24"/>
          <w:szCs w:val="24"/>
        </w:rPr>
        <w:t>Engineering Proceedings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, vol. 59, no. 1, 2023. [Online]. Available: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https://www.mdpi.com/2673-4591/59/1/117</w:t>
      </w:r>
    </w:p>
    <w:p w14:paraId="6CFA7CB5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[11] J. Zhang, L. Xia, Y. Wang, and et al., “Predictive factors of turnover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intention of newly graduated nurses in their first year of employment: a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 xml:space="preserve">longitudinal study,” </w:t>
      </w:r>
      <w:r>
        <w:rPr>
          <w:rFonts w:hint="default" w:ascii="Times New Roman" w:hAnsi="Times New Roman" w:eastAsia="NimbusRomNo9L-ReguItal" w:cs="Times New Roman"/>
          <w:sz w:val="24"/>
          <w:szCs w:val="24"/>
        </w:rPr>
        <w:t>BMC Nursing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, vol. 23, p. 522, 2024.</w:t>
      </w:r>
    </w:p>
    <w:p w14:paraId="78C04959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[12] J. Brownlee, “How to avoid data leakage when performing data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preparation,” 2020, accessed: 2024-10-16. [Online]. Available: https://machinelearningmastery.com/data-leakage-machine-learning/</w:t>
      </w:r>
    </w:p>
    <w:p w14:paraId="1D85E68B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[13] M. Santos, J. Soares, P. Henriques Abreu, H. Araujo, and J. Santos,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“Cross-validation for imbalanced datasets: Avoiding overoptimistic and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 xml:space="preserve">overfitting approaches,” </w:t>
      </w:r>
      <w:r>
        <w:rPr>
          <w:rFonts w:hint="default" w:ascii="Times New Roman" w:hAnsi="Times New Roman" w:eastAsia="NimbusRomNo9L-ReguItal" w:cs="Times New Roman"/>
          <w:sz w:val="24"/>
          <w:szCs w:val="24"/>
        </w:rPr>
        <w:t>IEEE Computational Intelligence Magazine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,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vol. 13, pp. 59–76, 10 2018.</w:t>
      </w:r>
    </w:p>
    <w:p w14:paraId="578DC17B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 xml:space="preserve">[14] M. Mujahid, E. Kına, F. Rustam </w:t>
      </w:r>
      <w:r>
        <w:rPr>
          <w:rFonts w:hint="default" w:ascii="Times New Roman" w:hAnsi="Times New Roman" w:eastAsia="NimbusRomNo9L-ReguItal" w:cs="Times New Roman"/>
          <w:sz w:val="24"/>
          <w:szCs w:val="24"/>
        </w:rPr>
        <w:t>et al.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, “Data oversampling and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imbalanced datasets: an investigation of performance for machine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 xml:space="preserve">learning and feature engineering,” </w:t>
      </w:r>
      <w:r>
        <w:rPr>
          <w:rFonts w:hint="default" w:ascii="Times New Roman" w:hAnsi="Times New Roman" w:eastAsia="NimbusRomNo9L-ReguItal" w:cs="Times New Roman"/>
          <w:sz w:val="24"/>
          <w:szCs w:val="24"/>
        </w:rPr>
        <w:t>Journal of Big Data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, vol. 11, p. 87,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 xml:space="preserve">2024. [Online]. Available: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fldChar w:fldCharType="begin"/>
      </w:r>
      <w:r>
        <w:rPr>
          <w:rFonts w:hint="default" w:ascii="Times New Roman" w:hAnsi="Times New Roman" w:eastAsia="NimbusRomNo9L-Regu" w:cs="Times New Roman"/>
          <w:sz w:val="24"/>
          <w:szCs w:val="24"/>
        </w:rPr>
        <w:instrText xml:space="preserve"> HYPERLINK "https://doi.org/10.1186/s40537-024-00943-4" </w:instrText>
      </w:r>
      <w:r>
        <w:rPr>
          <w:rFonts w:hint="default" w:ascii="Times New Roman" w:hAnsi="Times New Roman" w:eastAsia="NimbusRomNo9L-Regu" w:cs="Times New Roman"/>
          <w:sz w:val="24"/>
          <w:szCs w:val="24"/>
        </w:rPr>
        <w:fldChar w:fldCharType="separate"/>
      </w:r>
      <w:r>
        <w:rPr>
          <w:rStyle w:val="5"/>
          <w:rFonts w:hint="default" w:ascii="Times New Roman" w:hAnsi="Times New Roman" w:eastAsia="NimbusRomNo9L-Regu" w:cs="Times New Roman"/>
          <w:sz w:val="24"/>
          <w:szCs w:val="24"/>
        </w:rPr>
        <w:t>https://doi.org/10.1186/s40537-024-00943-4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fldChar w:fldCharType="end"/>
      </w:r>
    </w:p>
    <w:p w14:paraId="06270058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7E763F2B">
      <w:pPr>
        <w:spacing w:beforeLines="0" w:afterLines="0"/>
        <w:jc w:val="left"/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  <w:t>APPENDIX A</w:t>
      </w:r>
    </w:p>
    <w:p w14:paraId="6CCA8896">
      <w:pPr>
        <w:spacing w:beforeLines="0" w:afterLines="0"/>
        <w:jc w:val="left"/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  <w:t>FILE RESOURCES</w:t>
      </w:r>
    </w:p>
    <w:p w14:paraId="531599CC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The github repo https://github.com/LuoZheng2002/nurse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>_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transfer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contains the raw questionnaire, the raw collected data and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the complete python code for model development and SHAP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sz w:val="24"/>
          <w:szCs w:val="24"/>
        </w:rPr>
        <w:t>analysis.</w:t>
      </w:r>
    </w:p>
    <w:p w14:paraId="1406C25D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7B749A81">
      <w:pPr>
        <w:spacing w:beforeLines="0" w:afterLines="0"/>
        <w:jc w:val="left"/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  <w:t>APPENDIX B</w:t>
      </w:r>
    </w:p>
    <w:p w14:paraId="17D1D15F">
      <w:pPr>
        <w:spacing w:beforeLines="0" w:afterLines="0"/>
        <w:jc w:val="left"/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  <w:t>DEMOGRAPHIC INFORMATION OF SPECIALIZED NURSES</w:t>
      </w:r>
    </w:p>
    <w:p w14:paraId="21AEDAFD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See Table D.</w:t>
      </w:r>
    </w:p>
    <w:p w14:paraId="5567B577">
      <w:pPr>
        <w:spacing w:beforeLines="0" w:afterLines="0"/>
        <w:jc w:val="left"/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  <w:t>TABLE D</w:t>
      </w:r>
    </w:p>
    <w:p w14:paraId="74A728DC">
      <w:pPr>
        <w:spacing w:beforeLines="0" w:afterLines="0"/>
        <w:jc w:val="left"/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  <w:t>DEMOGRAPHIC INFORMATION OF SPECIALIZED NURSES</w:t>
      </w:r>
    </w:p>
    <w:tbl>
      <w:tblPr>
        <w:tblStyle w:val="4"/>
        <w:tblW w:w="8548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3"/>
        <w:gridCol w:w="2145"/>
        <w:gridCol w:w="1005"/>
        <w:gridCol w:w="1215"/>
        <w:gridCol w:w="840"/>
        <w:gridCol w:w="720"/>
      </w:tblGrid>
      <w:tr w14:paraId="715C886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 w14:paraId="623C6E54"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4"/>
                <w:szCs w:val="24"/>
              </w:rPr>
              <w:t>Dependent variable</w:t>
            </w:r>
          </w:p>
        </w:tc>
        <w:tc>
          <w:tcPr>
            <w:tcW w:w="2145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 w14:paraId="436164A2"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4"/>
                <w:szCs w:val="24"/>
              </w:rPr>
              <w:t>Group</w:t>
            </w:r>
          </w:p>
        </w:tc>
        <w:tc>
          <w:tcPr>
            <w:tcW w:w="1005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 w14:paraId="0A5E65B5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4"/>
                <w:szCs w:val="24"/>
              </w:rPr>
              <w:t>Job transfer</w:t>
            </w:r>
          </w:p>
        </w:tc>
        <w:tc>
          <w:tcPr>
            <w:tcW w:w="1215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 w14:paraId="627095D6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4"/>
                <w:szCs w:val="24"/>
              </w:rPr>
              <w:t>No job transfer</w:t>
            </w:r>
          </w:p>
        </w:tc>
        <w:tc>
          <w:tcPr>
            <w:tcW w:w="84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 w14:paraId="14311EB8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4"/>
                <w:szCs w:val="24"/>
              </w:rPr>
              <w:t>Chi2/t/Z</w:t>
            </w:r>
          </w:p>
        </w:tc>
        <w:tc>
          <w:tcPr>
            <w:tcW w:w="72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 w14:paraId="3B742281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4"/>
                <w:szCs w:val="24"/>
              </w:rPr>
              <w:t>P-value</w:t>
            </w:r>
          </w:p>
        </w:tc>
      </w:tr>
      <w:tr w14:paraId="4DE3227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E9B395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Institution Level</w:t>
            </w:r>
          </w:p>
        </w:tc>
        <w:tc>
          <w:tcPr>
            <w:tcW w:w="2145" w:type="dxa"/>
            <w:tcBorders>
              <w:top w:val="single" w:color="auto" w:sz="6" w:space="0"/>
              <w:left w:val="nil"/>
              <w:bottom w:val="nil"/>
              <w:right w:val="nil"/>
            </w:tcBorders>
            <w:noWrap/>
            <w:vAlign w:val="center"/>
          </w:tcPr>
          <w:p w14:paraId="719B1EC9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Primary</w:t>
            </w:r>
          </w:p>
        </w:tc>
        <w:tc>
          <w:tcPr>
            <w:tcW w:w="1005" w:type="dxa"/>
            <w:tcBorders>
              <w:top w:val="single" w:color="auto" w:sz="6" w:space="0"/>
              <w:left w:val="nil"/>
              <w:bottom w:val="nil"/>
              <w:right w:val="nil"/>
            </w:tcBorders>
            <w:noWrap/>
            <w:vAlign w:val="center"/>
          </w:tcPr>
          <w:p w14:paraId="66F9060B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203(55.3)</w:t>
            </w:r>
          </w:p>
        </w:tc>
        <w:tc>
          <w:tcPr>
            <w:tcW w:w="1215" w:type="dxa"/>
            <w:tcBorders>
              <w:top w:val="single" w:color="auto" w:sz="6" w:space="0"/>
              <w:left w:val="nil"/>
              <w:bottom w:val="nil"/>
              <w:right w:val="nil"/>
            </w:tcBorders>
            <w:noWrap/>
            <w:vAlign w:val="center"/>
          </w:tcPr>
          <w:p w14:paraId="7A69CC1A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50(48.1)</w:t>
            </w: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C8082B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1.707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EE23E0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0.191</w:t>
            </w:r>
          </w:p>
        </w:tc>
      </w:tr>
      <w:tr w14:paraId="20CFFBB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D0944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4942BC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Secondary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91CF49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164(44.7)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C9E4B5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54(51.9)</w:t>
            </w: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7CEA4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F5014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</w:tr>
      <w:tr w14:paraId="39E3907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F76268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Age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8716F5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89369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367(22-55)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8C1E41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104(22-52)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7167DF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1.927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AAC20F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0.055</w:t>
            </w:r>
          </w:p>
        </w:tc>
      </w:tr>
      <w:tr w14:paraId="2EBB6D6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291477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Gender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031C21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Male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5B0458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7(1.9)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C25C16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6(5.8)</w:t>
            </w: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53BA11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4.503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16049A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0.034</w:t>
            </w:r>
          </w:p>
        </w:tc>
      </w:tr>
      <w:tr w14:paraId="00A36D4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0B9CB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C4957D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Female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A78FBD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360(98.1)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420966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98(94.2)</w:t>
            </w: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F4953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CC2A2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</w:tr>
      <w:tr w14:paraId="219470D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A45859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Number of Children Under 12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DE051A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76B9AF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170(46.3)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BE3AC8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45(43.3)</w:t>
            </w: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E1B3B7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0.892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B86200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0.849</w:t>
            </w:r>
          </w:p>
        </w:tc>
      </w:tr>
      <w:tr w14:paraId="0E5C7A6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9D5F3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51B00F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DBEEB1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159(43.3)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60BB77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47(45.2)</w:t>
            </w: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4A2CA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61911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</w:tr>
      <w:tr w14:paraId="5EFF196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11B2A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0BC7E4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00410E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37(10.1)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CC9E04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12(11.5)</w:t>
            </w: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6B074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C4A66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</w:tr>
      <w:tr w14:paraId="48BCF42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F3380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E7AB96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AE7D86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1(0.3)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1243F6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0(0.0)</w:t>
            </w: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61CBF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97FEA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</w:tr>
      <w:tr w14:paraId="4437969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EF1BDE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Years of Work Experience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0CC0C1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4B934B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367(0-33)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5E5C4B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104(1-36)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077DFE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-1.264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793D76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0.206</w:t>
            </w:r>
          </w:p>
        </w:tc>
      </w:tr>
      <w:tr w14:paraId="43F47FF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98AD3E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Years of Work Experience at Current Institution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AF891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5EB2BB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367(0-36)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FBAAE4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104(0-33)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D7C984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1.653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5A9AE2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0.099</w:t>
            </w:r>
          </w:p>
        </w:tc>
      </w:tr>
      <w:tr w14:paraId="3AEFA22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DE9CA6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First Degree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2C4554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Technical Secondary School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6C63C1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201(54.8)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3BE4D0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53(51.0)</w:t>
            </w: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C5E996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 xml:space="preserve">1.970 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9EFA28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0.582</w:t>
            </w:r>
          </w:p>
        </w:tc>
      </w:tr>
      <w:tr w14:paraId="4AF02AA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B9E6A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68F47E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Associate Degree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785127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128(34.9)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CE14AB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43(41.3)</w:t>
            </w: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BB33F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84A87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</w:tr>
      <w:tr w14:paraId="4E8A1CD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1548E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35D083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Bachelor’s Degree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CEE0F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37(10.1)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957F54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8(7.7)</w:t>
            </w: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29719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B9544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</w:tr>
      <w:tr w14:paraId="7F3556E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1DE85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424971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Master’s Degree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084593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1(0.3)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61E3DC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0(0.0)</w:t>
            </w: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F1F08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61A8C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</w:tr>
      <w:tr w14:paraId="075B14D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52BD4C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Highest Degree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34D211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Technical Secondary School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6BBE9F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2(0.5)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7CE1E9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0(0.0)</w:t>
            </w: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F35CC4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0.533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3AC317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 xml:space="preserve">1.000 </w:t>
            </w:r>
          </w:p>
        </w:tc>
      </w:tr>
      <w:tr w14:paraId="6384CD5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A1FAB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DDAE1F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Associate Degree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6DD4A6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59(16.1)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83A1AD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17(16.3)</w:t>
            </w: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E1441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BFA79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</w:tr>
      <w:tr w14:paraId="58E61D3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69D8E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9742B3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Bachelor’s Degree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E6BF72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303(82.6)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4B39F9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86(82.7)</w:t>
            </w: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C032F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31A55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</w:tr>
      <w:tr w14:paraId="4C46C16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CE915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869363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Master’s Degree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D0FEC1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3(0.8)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C9F806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1(1.0)</w:t>
            </w: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CC3B7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D0C8A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</w:tr>
      <w:tr w14:paraId="31ACA27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7774BF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Job Title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C6B0C8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Junior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78C9FD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101(27.5)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E9C6F3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34(32.7)</w:t>
            </w: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824286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1.186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3EFE3F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0.553</w:t>
            </w:r>
          </w:p>
        </w:tc>
      </w:tr>
      <w:tr w14:paraId="5590D9A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24298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2188FF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Associate Senior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919F4A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257(70.0)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98AF14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67(64.4)</w:t>
            </w: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159E6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298E9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</w:tr>
      <w:tr w14:paraId="5F460E5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A4EDB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AFFF14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Senior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D95BBD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9(2.5)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A1215A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3(2.9)</w:t>
            </w: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93C4F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B6888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</w:tr>
      <w:tr w14:paraId="4F85451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A0C66C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Position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E8D428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Clinical Nursing Position (Direct Nursing Services)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1FE1D6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63(17.2)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27D0BE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8(7.7)</w:t>
            </w: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7FE890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5.929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098020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0.052</w:t>
            </w:r>
          </w:p>
        </w:tc>
      </w:tr>
      <w:tr w14:paraId="7CC306B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82154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E3602B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Nursing Management Position (Hospital Nursing Management Work)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ED247E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284(77.4)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9DCB92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91(87.5)</w:t>
            </w: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752B1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C220C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</w:tr>
      <w:tr w14:paraId="5238F5C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58AF2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10587A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Other Nursing Positions (Non-Direct Nursing Services)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1F361B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20(5.4)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6B9855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5(4.8)</w:t>
            </w: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FA548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4A208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</w:tr>
      <w:tr w14:paraId="1AE3603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3AC510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Monthly Night Shift Frequency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A6DFDC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No Night Shifts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E6EE3D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235(64.0)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4E628A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52(50.0)</w:t>
            </w: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2733CE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7.119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FB406D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0.057</w:t>
            </w:r>
          </w:p>
        </w:tc>
      </w:tr>
      <w:tr w14:paraId="6090A21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F679D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66C402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0-5 Times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7A4FA1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87(23.7)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4D913A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34(32.7)</w:t>
            </w: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951B0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F8AE8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</w:tr>
      <w:tr w14:paraId="4098769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68ACC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276A0F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5-10 Times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1C92E5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41(11.2)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3C460A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17(16.3)</w:t>
            </w: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7C860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EBD13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</w:tr>
      <w:tr w14:paraId="6ABFE89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96B79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6CCFC8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&gt;10 Times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6C08CB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4(1.1)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9A251F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1(1.0)</w:t>
            </w: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ED3C7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F5801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</w:tr>
      <w:tr w14:paraId="4A8B15A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4BCF76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Employment Type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62C871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Staff (Formal Employment)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B08A71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313(85.3)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BBE067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97(93.3)</w:t>
            </w: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9C909B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4.581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646532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0.032</w:t>
            </w:r>
          </w:p>
        </w:tc>
      </w:tr>
      <w:tr w14:paraId="15F8617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B072E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DF432F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Labor Dispatch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2122E4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54(14.7)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443CE1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7(6.7)</w:t>
            </w: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0321F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F9373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</w:tr>
      <w:tr w14:paraId="553D799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C0F9E2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Monthly Take-home Income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3F4E83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≤5000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3B15C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11(3.0)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A7F1FC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3(2.9)</w:t>
            </w: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FB290A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11.082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622BF7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 xml:space="preserve">0.020 </w:t>
            </w:r>
          </w:p>
        </w:tc>
      </w:tr>
      <w:tr w14:paraId="41FF2E3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DC3E3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0099E2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5001~8000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1C3258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166(45.2)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C41921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64(61.5)</w:t>
            </w: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50BE9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6CC7A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</w:tr>
      <w:tr w14:paraId="1610E0E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C381C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21855C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8001~12000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05BF35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166(45.2)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855B93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29(27.9)</w:t>
            </w: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6F20A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04918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</w:tr>
      <w:tr w14:paraId="07BB9E5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1E1AE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8B942C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12001~15000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C02C28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19(5.2)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6AE202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7(6.7)</w:t>
            </w: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D3AA5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FB690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</w:tr>
      <w:tr w14:paraId="65203A1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70690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83A5AA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&gt;15000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77656A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5(1.4)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7A7A9B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1(1.0)</w:t>
            </w: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E8A1D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5537A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</w:tr>
      <w:tr w14:paraId="525B0F3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61B590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Number of Specialist Trainings/Continuing Education Attended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7F1F0A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D6B8A6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17(4.6)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766F02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6(5.8)</w:t>
            </w: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8D43C4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8.019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6D9E34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 xml:space="preserve">0.090 </w:t>
            </w:r>
          </w:p>
        </w:tc>
      </w:tr>
      <w:tr w14:paraId="0A2AB50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3F1D9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41DA24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5A556A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98(26.7)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8BC881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40(38.5)</w:t>
            </w: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7E697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5EDA6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</w:tr>
      <w:tr w14:paraId="077E5F6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F781B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5F5DE2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A151D0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80(21.8)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CC6092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24(23.1)</w:t>
            </w: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189DE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2F8C4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</w:tr>
      <w:tr w14:paraId="74D7536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FCBD7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DBB884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428FBE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34(9.3)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916C87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8(7.7)</w:t>
            </w: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D3E4D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BDFD9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</w:tr>
      <w:tr w14:paraId="1B70399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8ADBB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1DA1B1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4 Times or More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D0FD70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138(37.6)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976828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26(25.0)</w:t>
            </w: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3C8C3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99404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</w:tr>
      <w:tr w14:paraId="7A9ACC2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5F25E9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Whether Obtained Specialist Qualification Certificate and the Specialist Field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3E285F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Yes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9F9E5B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367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8AB45F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104</w:t>
            </w: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36538B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—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2FA35B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—</w:t>
            </w:r>
          </w:p>
        </w:tc>
      </w:tr>
      <w:tr w14:paraId="3276C76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7A667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D77EFC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No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2F3A8D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E6051E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F3E31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1C607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</w:tr>
      <w:tr w14:paraId="52A1FBB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CD3BA6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Whether Working in a Specialist Nursing Outpatient Clinic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7618BD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Yes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9FBE70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106(28.9)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5995DF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20(19.2)</w:t>
            </w: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D754EB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3.853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E18B18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0.059</w:t>
            </w:r>
          </w:p>
        </w:tc>
      </w:tr>
      <w:tr w14:paraId="2997FCA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3BB09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6B0A48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No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7646F9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261(71.1)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8D77A1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84(80.8)</w:t>
            </w: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325AB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8E438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</w:tr>
      <w:tr w14:paraId="28F34F5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C56BDD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Average Number of Clinical Teaching/Training Activities Participated in per Year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C7D028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None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896452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99(27.0)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DA9D2B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36(34.6)</w:t>
            </w: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CC4C5F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6.508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9A9282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0.089</w:t>
            </w:r>
          </w:p>
        </w:tc>
      </w:tr>
      <w:tr w14:paraId="0579FF5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73C02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05E12E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1-5 Times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9C945A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174(47.4)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F4173E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53(51.0)</w:t>
            </w: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C5123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15440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</w:tr>
      <w:tr w14:paraId="58C33BF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61350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5FA1F3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5-10 Times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D4E8D5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36(9.8)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F4E91B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7(6.7)</w:t>
            </w: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F6D5A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2E68B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</w:tr>
      <w:tr w14:paraId="5B4449D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0218F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7458F2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&gt;10 Times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850844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58(15.8)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9AF610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8(7.7)</w:t>
            </w: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EAA17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00BDE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</w:tr>
      <w:tr w14:paraId="2E74CE4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D1C998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Degree of Application of Specialist Skills in Subsequent Clinical Practice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2FBC2A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Always Used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5258F9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161(43.9)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2C0767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35(33.7)</w:t>
            </w: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249DB6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5.993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C317CC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0.11</w:t>
            </w:r>
          </w:p>
        </w:tc>
      </w:tr>
      <w:tr w14:paraId="5A024F3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ADD46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A7B1F3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Frequently Used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62AA38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137(37.3)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28F266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40(38.5)</w:t>
            </w: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7F48B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D48E6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</w:tr>
      <w:tr w14:paraId="4BA1022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5922D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E58DBB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Occasionally Used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7B206B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57(15.5)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976869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22(21.2)</w:t>
            </w: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D5F2E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95C26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</w:tr>
      <w:tr w14:paraId="0D43DD0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BB481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A8B71E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Not Used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85D649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12(3.3)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7A86F0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7(6.7)</w:t>
            </w: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7658D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FAD30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</w:tr>
      <w:tr w14:paraId="75834AB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27602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Whether Undertaken Research Projects in the Past Three Years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F6143A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Yes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72C551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34(9.3)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08A2DF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4(3.8)</w:t>
            </w: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5D14D0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3.207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F43433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0.1</w:t>
            </w:r>
          </w:p>
        </w:tc>
      </w:tr>
      <w:tr w14:paraId="2F85533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52AB0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D37961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No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E4571B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333(90.7)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EE6A9E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100(96.2)</w:t>
            </w: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D1801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E815C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</w:tr>
      <w:tr w14:paraId="172B691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D6C9BD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Whether Role Stress is High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062031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Yes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0DCB0C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93(25.3)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335DA2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44(42.3)</w:t>
            </w: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9BD443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 xml:space="preserve">11.310 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2AE1F5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0.001</w:t>
            </w:r>
          </w:p>
        </w:tc>
      </w:tr>
      <w:tr w14:paraId="626DEF8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C7A10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93B3AC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No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608AB4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274(74.7)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B5DE3A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60(57.7)</w:t>
            </w: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B31CF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2AAC4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</w:tr>
      <w:tr w14:paraId="0518C48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89FA96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Whether Empathy Level is High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5F1458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Yes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9C7B97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358(97.5)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3E2101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101(97.1)</w:t>
            </w: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84F257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 xml:space="preserve">0.000 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51B851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 xml:space="preserve">1.000 </w:t>
            </w:r>
          </w:p>
        </w:tc>
      </w:tr>
      <w:tr w14:paraId="1222064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96037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2CF5A6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No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D8A8B5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9(2.5)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CD2BEE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3(2.9)</w:t>
            </w: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B0CD1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7B972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</w:tr>
      <w:tr w14:paraId="20EF048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57D704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Whether Level of Happiness is High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E08CA5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Yes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8067C4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338(92.1)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198B2B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82(78.8)</w:t>
            </w: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FCB69B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14.739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F624CF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 xml:space="preserve">0.000 </w:t>
            </w:r>
          </w:p>
        </w:tc>
      </w:tr>
      <w:tr w14:paraId="2C61506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C5A2D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6C223F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No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6ACA0A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29(7.9)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D5C4EB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22(21.2)</w:t>
            </w: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01268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F11F9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</w:tr>
      <w:tr w14:paraId="603AA5B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565C2E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Whether Satisfaction with Performance Distribution is High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1B259C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Yes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7E7D6F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315(85.8)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9EC1CC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62(59.6)</w:t>
            </w: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7D8AFA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34.864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494075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 xml:space="preserve">0.000 </w:t>
            </w:r>
          </w:p>
        </w:tc>
      </w:tr>
      <w:tr w14:paraId="4C9A0C5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23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4F435D2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7C1990C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No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9194072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52(14.2)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8CA1C26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</w:rPr>
              <w:t>42(40.4)</w:t>
            </w: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CA6A343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FD229CA">
            <w:pPr>
              <w:widowControl/>
              <w:spacing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</w:tc>
      </w:tr>
    </w:tbl>
    <w:p w14:paraId="09A81BD8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2960C7F3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</w:p>
    <w:p w14:paraId="71C6D200">
      <w:pPr>
        <w:spacing w:beforeLines="0" w:afterLines="0"/>
        <w:jc w:val="left"/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  <w:t>APPENDIX C</w:t>
      </w:r>
    </w:p>
    <w:p w14:paraId="31C98596">
      <w:pPr>
        <w:spacing w:beforeLines="0" w:afterLines="0"/>
        <w:jc w:val="left"/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  <w:t>BEST HYPERPARAMETER CONFIGURATIONS FOR ALL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  <w:t>CANDIDATE MODELS</w:t>
      </w:r>
    </w:p>
    <w:p w14:paraId="43D92499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sz w:val="24"/>
          <w:szCs w:val="24"/>
        </w:rPr>
        <w:t>See Table E.</w:t>
      </w:r>
    </w:p>
    <w:p w14:paraId="2CCA2945">
      <w:pPr>
        <w:spacing w:beforeLines="0" w:afterLines="0"/>
        <w:jc w:val="left"/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  <w:t>TABLE E</w:t>
      </w:r>
    </w:p>
    <w:p w14:paraId="04546B2F">
      <w:pPr>
        <w:spacing w:beforeLines="0" w:afterLines="0"/>
        <w:jc w:val="left"/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NimbusRomNo9L-Regu" w:cs="Times New Roman"/>
          <w:b/>
          <w:bCs/>
          <w:sz w:val="24"/>
          <w:szCs w:val="24"/>
        </w:rPr>
        <w:t>BEST HYPERPARAMETER CONFIGURATIONS FOR ALL CANDIDATE MODELS</w:t>
      </w:r>
    </w:p>
    <w:tbl>
      <w:tblPr>
        <w:tblW w:w="6495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0"/>
        <w:gridCol w:w="2762"/>
        <w:gridCol w:w="1183"/>
      </w:tblGrid>
      <w:tr w14:paraId="2D44F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shd w:val="clear"/>
            <w:noWrap/>
            <w:vAlign w:val="center"/>
          </w:tcPr>
          <w:p w14:paraId="0342B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Model</w:t>
            </w:r>
          </w:p>
        </w:tc>
        <w:tc>
          <w:tcPr>
            <w:tcW w:w="2762" w:type="dxa"/>
            <w:shd w:val="clear"/>
            <w:noWrap/>
            <w:vAlign w:val="center"/>
          </w:tcPr>
          <w:p w14:paraId="2D5FE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Hyperparameter Name</w:t>
            </w:r>
          </w:p>
        </w:tc>
        <w:tc>
          <w:tcPr>
            <w:tcW w:w="1183" w:type="dxa"/>
            <w:shd w:val="clear"/>
            <w:noWrap/>
            <w:vAlign w:val="center"/>
          </w:tcPr>
          <w:p w14:paraId="45305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Value</w:t>
            </w:r>
          </w:p>
        </w:tc>
      </w:tr>
      <w:tr w14:paraId="30494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restart"/>
            <w:shd w:val="clear"/>
            <w:noWrap/>
            <w:vAlign w:val="center"/>
          </w:tcPr>
          <w:p w14:paraId="4571F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RandomForestClassifier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2486E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Standard Scalar Enabled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79E66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TRUE</w:t>
            </w:r>
          </w:p>
        </w:tc>
      </w:tr>
      <w:tr w14:paraId="57E04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continue"/>
            <w:tcBorders/>
            <w:shd w:val="clear"/>
            <w:noWrap/>
            <w:vAlign w:val="center"/>
          </w:tcPr>
          <w:p w14:paraId="647586A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 w14:paraId="08D3A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One-Hot Encoder Enabled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05890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FALSE</w:t>
            </w:r>
          </w:p>
        </w:tc>
      </w:tr>
      <w:tr w14:paraId="2C00D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8" w:hRule="atLeast"/>
        </w:trPr>
        <w:tc>
          <w:tcPr>
            <w:tcW w:w="2550" w:type="dxa"/>
            <w:vMerge w:val="continue"/>
            <w:tcBorders/>
            <w:shd w:val="clear"/>
            <w:noWrap/>
            <w:vAlign w:val="center"/>
          </w:tcPr>
          <w:p w14:paraId="530C201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 w14:paraId="29F23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Feature Selection Enabled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6F31F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FALSE</w:t>
            </w:r>
          </w:p>
        </w:tc>
      </w:tr>
      <w:tr w14:paraId="5902B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continue"/>
            <w:tcBorders/>
            <w:shd w:val="clear"/>
            <w:noWrap/>
            <w:vAlign w:val="center"/>
          </w:tcPr>
          <w:p w14:paraId="65D977C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 w14:paraId="2C53B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SMOTE Enabled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1F76E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TRUE</w:t>
            </w:r>
          </w:p>
        </w:tc>
      </w:tr>
      <w:tr w14:paraId="6B737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continue"/>
            <w:tcBorders/>
            <w:shd w:val="clear"/>
            <w:noWrap/>
            <w:vAlign w:val="center"/>
          </w:tcPr>
          <w:p w14:paraId="523693D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 w14:paraId="0E49C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n_estimators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5E713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255</w:t>
            </w:r>
          </w:p>
        </w:tc>
      </w:tr>
      <w:tr w14:paraId="2D38E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continue"/>
            <w:tcBorders/>
            <w:shd w:val="clear"/>
            <w:noWrap/>
            <w:vAlign w:val="center"/>
          </w:tcPr>
          <w:p w14:paraId="74BCCD1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 w14:paraId="05625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max_depth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296E5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</w:tr>
      <w:tr w14:paraId="44F3B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continue"/>
            <w:tcBorders/>
            <w:shd w:val="clear"/>
            <w:noWrap/>
            <w:vAlign w:val="center"/>
          </w:tcPr>
          <w:p w14:paraId="34ACC6E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 w14:paraId="47C4F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min_samples_split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7BB17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</w:tr>
      <w:tr w14:paraId="396D0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continue"/>
            <w:tcBorders/>
            <w:shd w:val="clear"/>
            <w:noWrap/>
            <w:vAlign w:val="center"/>
          </w:tcPr>
          <w:p w14:paraId="09121C7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 w14:paraId="6FF04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min_samples_leaf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4BF0D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63708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continue"/>
            <w:tcBorders/>
            <w:shd w:val="clear"/>
            <w:noWrap/>
            <w:vAlign w:val="center"/>
          </w:tcPr>
          <w:p w14:paraId="2612364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 w14:paraId="2117D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max_features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7EC8B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'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sqrt'</w:t>
            </w:r>
          </w:p>
        </w:tc>
      </w:tr>
      <w:tr w14:paraId="5C114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restart"/>
            <w:shd w:val="clear"/>
            <w:noWrap/>
            <w:vAlign w:val="center"/>
          </w:tcPr>
          <w:p w14:paraId="68E07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XGBClassifier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47BAE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Standard Scalar Enabled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698B5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TRUE</w:t>
            </w:r>
          </w:p>
        </w:tc>
      </w:tr>
      <w:tr w14:paraId="79B51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continue"/>
            <w:tcBorders/>
            <w:shd w:val="clear"/>
            <w:noWrap/>
            <w:vAlign w:val="center"/>
          </w:tcPr>
          <w:p w14:paraId="782D601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 w14:paraId="2C627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One-Hot Encoder Enabled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6C777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TRUE</w:t>
            </w:r>
          </w:p>
        </w:tc>
      </w:tr>
      <w:tr w14:paraId="15F25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continue"/>
            <w:tcBorders/>
            <w:shd w:val="clear"/>
            <w:noWrap/>
            <w:vAlign w:val="center"/>
          </w:tcPr>
          <w:p w14:paraId="07F5847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 w14:paraId="4E7EA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Feature Selection Enabled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65C40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FALSE</w:t>
            </w:r>
          </w:p>
        </w:tc>
      </w:tr>
      <w:tr w14:paraId="03B80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continue"/>
            <w:tcBorders/>
            <w:shd w:val="clear"/>
            <w:noWrap/>
            <w:vAlign w:val="center"/>
          </w:tcPr>
          <w:p w14:paraId="0A8DE87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 w14:paraId="3FB20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SMOTE Enabled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6F8B0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TRUE</w:t>
            </w:r>
          </w:p>
        </w:tc>
      </w:tr>
      <w:tr w14:paraId="536F3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continue"/>
            <w:tcBorders/>
            <w:shd w:val="clear"/>
            <w:noWrap/>
            <w:vAlign w:val="center"/>
          </w:tcPr>
          <w:p w14:paraId="3ECFD60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 w14:paraId="12F45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n_estimators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7E58F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</w:tr>
      <w:tr w14:paraId="6D09C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continue"/>
            <w:tcBorders/>
            <w:shd w:val="clear"/>
            <w:noWrap/>
            <w:vAlign w:val="center"/>
          </w:tcPr>
          <w:p w14:paraId="5A3258C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 w14:paraId="2E1A8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max_depth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6446F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</w:tr>
      <w:tr w14:paraId="22A66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continue"/>
            <w:tcBorders/>
            <w:shd w:val="clear"/>
            <w:noWrap/>
            <w:vAlign w:val="center"/>
          </w:tcPr>
          <w:p w14:paraId="74D155E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 w14:paraId="2554F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learning_rate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68D8D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0.00716</w:t>
            </w:r>
          </w:p>
        </w:tc>
      </w:tr>
      <w:tr w14:paraId="6D85A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continue"/>
            <w:tcBorders/>
            <w:shd w:val="clear"/>
            <w:noWrap/>
            <w:vAlign w:val="center"/>
          </w:tcPr>
          <w:p w14:paraId="6AC5651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 w14:paraId="25EF2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subsample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1458C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0.623</w:t>
            </w:r>
          </w:p>
        </w:tc>
      </w:tr>
      <w:tr w14:paraId="07952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continue"/>
            <w:tcBorders/>
            <w:shd w:val="clear"/>
            <w:noWrap/>
            <w:vAlign w:val="center"/>
          </w:tcPr>
          <w:p w14:paraId="4B8224F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 w14:paraId="09AA9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colsample_bytree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3DE91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0.412</w:t>
            </w:r>
          </w:p>
        </w:tc>
      </w:tr>
      <w:tr w14:paraId="5FCDB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restart"/>
            <w:shd w:val="clear"/>
            <w:noWrap/>
            <w:vAlign w:val="center"/>
          </w:tcPr>
          <w:p w14:paraId="005E8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MLPClassifier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39BD0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Standard Scalar Enabled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74F7A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FALSE</w:t>
            </w:r>
          </w:p>
        </w:tc>
      </w:tr>
      <w:tr w14:paraId="74A40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continue"/>
            <w:tcBorders/>
            <w:shd w:val="clear"/>
            <w:noWrap/>
            <w:vAlign w:val="center"/>
          </w:tcPr>
          <w:p w14:paraId="48E681F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 w14:paraId="02490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One-Hot Encoder Enabled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58782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TRUE</w:t>
            </w:r>
          </w:p>
        </w:tc>
      </w:tr>
      <w:tr w14:paraId="313D9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continue"/>
            <w:tcBorders/>
            <w:shd w:val="clear"/>
            <w:noWrap/>
            <w:vAlign w:val="center"/>
          </w:tcPr>
          <w:p w14:paraId="1D0C6CC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 w14:paraId="40914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Feature Selection Enabled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39D0D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FALSE</w:t>
            </w:r>
          </w:p>
        </w:tc>
      </w:tr>
      <w:tr w14:paraId="29E6B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continue"/>
            <w:tcBorders/>
            <w:shd w:val="clear"/>
            <w:noWrap/>
            <w:vAlign w:val="center"/>
          </w:tcPr>
          <w:p w14:paraId="5560C0A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 w14:paraId="2DE2C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SMOTE Enabled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21CDA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TRUE</w:t>
            </w:r>
          </w:p>
        </w:tc>
      </w:tr>
      <w:tr w14:paraId="588A4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continue"/>
            <w:tcBorders/>
            <w:shd w:val="clear"/>
            <w:noWrap/>
            <w:vAlign w:val="center"/>
          </w:tcPr>
          <w:p w14:paraId="68EF63F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 w14:paraId="06838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hidden_layer_sizes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73857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</w:tr>
      <w:tr w14:paraId="63704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continue"/>
            <w:tcBorders/>
            <w:shd w:val="clear"/>
            <w:noWrap/>
            <w:vAlign w:val="center"/>
          </w:tcPr>
          <w:p w14:paraId="51610AE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 w14:paraId="652C7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activation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26B7C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'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logistic'</w:t>
            </w:r>
          </w:p>
        </w:tc>
      </w:tr>
      <w:tr w14:paraId="0E04C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continue"/>
            <w:tcBorders/>
            <w:shd w:val="clear"/>
            <w:noWrap/>
            <w:vAlign w:val="center"/>
          </w:tcPr>
          <w:p w14:paraId="188FDCF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 w14:paraId="08A93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solver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12F85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'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adam'</w:t>
            </w:r>
          </w:p>
        </w:tc>
      </w:tr>
      <w:tr w14:paraId="70C92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continue"/>
            <w:tcBorders/>
            <w:shd w:val="clear"/>
            <w:noWrap/>
            <w:vAlign w:val="center"/>
          </w:tcPr>
          <w:p w14:paraId="7D36B2B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 w14:paraId="06369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alpha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559E7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0.00316</w:t>
            </w:r>
          </w:p>
        </w:tc>
      </w:tr>
      <w:tr w14:paraId="5FFFB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continue"/>
            <w:tcBorders/>
            <w:shd w:val="clear"/>
            <w:noWrap/>
            <w:vAlign w:val="center"/>
          </w:tcPr>
          <w:p w14:paraId="579B418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 w14:paraId="21D7F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learning_rate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45F4D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'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constant'</w:t>
            </w:r>
          </w:p>
        </w:tc>
      </w:tr>
      <w:tr w14:paraId="19310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continue"/>
            <w:tcBorders/>
            <w:shd w:val="clear"/>
            <w:noWrap/>
            <w:vAlign w:val="center"/>
          </w:tcPr>
          <w:p w14:paraId="5E1FEDF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 w14:paraId="5D46B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max_iter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49C0F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</w:tr>
      <w:tr w14:paraId="0CC6B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restart"/>
            <w:shd w:val="clear"/>
            <w:noWrap/>
            <w:vAlign w:val="center"/>
          </w:tcPr>
          <w:p w14:paraId="2548D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LGBMClassifier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43892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Standard Scalar Enabled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19523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FALSE</w:t>
            </w:r>
          </w:p>
        </w:tc>
      </w:tr>
      <w:tr w14:paraId="79057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continue"/>
            <w:tcBorders/>
            <w:shd w:val="clear"/>
            <w:noWrap/>
            <w:vAlign w:val="center"/>
          </w:tcPr>
          <w:p w14:paraId="15596D2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 w14:paraId="4B84A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One-Hot Encoder Enabled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17D28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FALSE</w:t>
            </w:r>
          </w:p>
        </w:tc>
      </w:tr>
      <w:tr w14:paraId="2DE57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continue"/>
            <w:tcBorders/>
            <w:shd w:val="clear"/>
            <w:noWrap/>
            <w:vAlign w:val="center"/>
          </w:tcPr>
          <w:p w14:paraId="15E0296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 w14:paraId="4D2D1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Feature Selection Enabled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70BF3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TRUE</w:t>
            </w:r>
          </w:p>
        </w:tc>
      </w:tr>
      <w:tr w14:paraId="10D02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continue"/>
            <w:tcBorders/>
            <w:shd w:val="clear"/>
            <w:noWrap/>
            <w:vAlign w:val="center"/>
          </w:tcPr>
          <w:p w14:paraId="55EA746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 w14:paraId="4967E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SMOTE Enabled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3C8A7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TRUE</w:t>
            </w:r>
          </w:p>
        </w:tc>
      </w:tr>
      <w:tr w14:paraId="0ED9E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continue"/>
            <w:tcBorders/>
            <w:shd w:val="clear"/>
            <w:noWrap/>
            <w:vAlign w:val="center"/>
          </w:tcPr>
          <w:p w14:paraId="567056A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 w14:paraId="6D186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n_estimators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6D200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716</w:t>
            </w:r>
          </w:p>
        </w:tc>
      </w:tr>
      <w:tr w14:paraId="376A9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continue"/>
            <w:tcBorders/>
            <w:shd w:val="clear"/>
            <w:noWrap/>
            <w:vAlign w:val="center"/>
          </w:tcPr>
          <w:p w14:paraId="42311F4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 w14:paraId="57D65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learning_rate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56822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0.0294</w:t>
            </w:r>
          </w:p>
        </w:tc>
      </w:tr>
      <w:tr w14:paraId="2514B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continue"/>
            <w:tcBorders/>
            <w:shd w:val="clear"/>
            <w:noWrap/>
            <w:vAlign w:val="center"/>
          </w:tcPr>
          <w:p w14:paraId="5C9B3A0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 w14:paraId="1295C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num_leaves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38B29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</w:tr>
      <w:tr w14:paraId="3B9EA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continue"/>
            <w:tcBorders/>
            <w:shd w:val="clear"/>
            <w:noWrap/>
            <w:vAlign w:val="center"/>
          </w:tcPr>
          <w:p w14:paraId="1169CB0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 w14:paraId="35042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max_depth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287AB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</w:tr>
      <w:tr w14:paraId="7F076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continue"/>
            <w:tcBorders/>
            <w:shd w:val="clear"/>
            <w:noWrap/>
            <w:vAlign w:val="center"/>
          </w:tcPr>
          <w:p w14:paraId="751430A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 w14:paraId="67F2B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min_data_in_leaf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5630E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</w:tr>
      <w:tr w14:paraId="2D0C7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restart"/>
            <w:shd w:val="clear"/>
            <w:noWrap/>
            <w:vAlign w:val="center"/>
          </w:tcPr>
          <w:p w14:paraId="50D46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AdaBoostClassifier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38534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Standard Scalar Enabled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62CFB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FALSE</w:t>
            </w:r>
          </w:p>
        </w:tc>
      </w:tr>
      <w:tr w14:paraId="1F9E1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continue"/>
            <w:tcBorders/>
            <w:shd w:val="clear"/>
            <w:noWrap/>
            <w:vAlign w:val="center"/>
          </w:tcPr>
          <w:p w14:paraId="279C971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 w14:paraId="6B708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One-Hot Encoder Enabled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4B290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TRUE</w:t>
            </w:r>
          </w:p>
        </w:tc>
      </w:tr>
      <w:tr w14:paraId="4D977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continue"/>
            <w:tcBorders/>
            <w:shd w:val="clear"/>
            <w:noWrap/>
            <w:vAlign w:val="center"/>
          </w:tcPr>
          <w:p w14:paraId="0AF77BA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 w14:paraId="3E97B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Feature Selection Enabled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3FB35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FALSE</w:t>
            </w:r>
          </w:p>
        </w:tc>
      </w:tr>
      <w:tr w14:paraId="5B21B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continue"/>
            <w:tcBorders/>
            <w:shd w:val="clear"/>
            <w:noWrap/>
            <w:vAlign w:val="center"/>
          </w:tcPr>
          <w:p w14:paraId="42A3E20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 w14:paraId="5A63F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SMOTE Enabled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32599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TRUE</w:t>
            </w:r>
          </w:p>
        </w:tc>
      </w:tr>
      <w:tr w14:paraId="0DC3A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continue"/>
            <w:tcBorders/>
            <w:shd w:val="clear"/>
            <w:noWrap/>
            <w:vAlign w:val="center"/>
          </w:tcPr>
          <w:p w14:paraId="64B4309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 w14:paraId="0DB72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n_estimators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17CA5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182</w:t>
            </w:r>
          </w:p>
        </w:tc>
      </w:tr>
      <w:tr w14:paraId="11AAD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continue"/>
            <w:tcBorders/>
            <w:shd w:val="clear"/>
            <w:noWrap/>
            <w:vAlign w:val="center"/>
          </w:tcPr>
          <w:p w14:paraId="0637B68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 w14:paraId="1284D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learning_rate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2971E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0.633</w:t>
            </w:r>
          </w:p>
        </w:tc>
      </w:tr>
      <w:tr w14:paraId="3C826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continue"/>
            <w:tcBorders/>
            <w:shd w:val="clear"/>
            <w:noWrap/>
            <w:vAlign w:val="center"/>
          </w:tcPr>
          <w:p w14:paraId="6222A6E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 w14:paraId="0090A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algorithm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75ABA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'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SAMME'</w:t>
            </w:r>
          </w:p>
        </w:tc>
      </w:tr>
      <w:tr w14:paraId="09D25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restart"/>
            <w:shd w:val="clear"/>
            <w:noWrap/>
            <w:vAlign w:val="center"/>
          </w:tcPr>
          <w:p w14:paraId="244B5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CatBoostClassifier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6EC85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Standard Scalar Enabled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49324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TRUE</w:t>
            </w:r>
          </w:p>
        </w:tc>
      </w:tr>
      <w:tr w14:paraId="30858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continue"/>
            <w:tcBorders/>
            <w:shd w:val="clear"/>
            <w:noWrap/>
            <w:vAlign w:val="center"/>
          </w:tcPr>
          <w:p w14:paraId="3291D6E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 w14:paraId="5ECEB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One-Hot Encoder Enabled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19BBE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TRUE</w:t>
            </w:r>
          </w:p>
        </w:tc>
      </w:tr>
      <w:tr w14:paraId="66ACF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continue"/>
            <w:tcBorders/>
            <w:shd w:val="clear"/>
            <w:noWrap/>
            <w:vAlign w:val="center"/>
          </w:tcPr>
          <w:p w14:paraId="5CCFB55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 w14:paraId="74C14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Feature Selection Enabled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28B2D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FALSE</w:t>
            </w:r>
          </w:p>
        </w:tc>
      </w:tr>
      <w:tr w14:paraId="60304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continue"/>
            <w:tcBorders/>
            <w:shd w:val="clear"/>
            <w:noWrap/>
            <w:vAlign w:val="center"/>
          </w:tcPr>
          <w:p w14:paraId="32D5DD1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 w14:paraId="38567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SMOTE Enabled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122DA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FALSE</w:t>
            </w:r>
          </w:p>
        </w:tc>
      </w:tr>
      <w:tr w14:paraId="763B8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continue"/>
            <w:tcBorders/>
            <w:shd w:val="clear"/>
            <w:noWrap/>
            <w:vAlign w:val="center"/>
          </w:tcPr>
          <w:p w14:paraId="1103708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 w14:paraId="2D185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iterations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36EA3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</w:tr>
      <w:tr w14:paraId="13275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continue"/>
            <w:tcBorders/>
            <w:shd w:val="clear"/>
            <w:noWrap/>
            <w:vAlign w:val="center"/>
          </w:tcPr>
          <w:p w14:paraId="21E246C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 w14:paraId="3FE91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learning_rate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57FC9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0.0245</w:t>
            </w:r>
          </w:p>
        </w:tc>
      </w:tr>
      <w:tr w14:paraId="679A1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continue"/>
            <w:tcBorders/>
            <w:shd w:val="clear"/>
            <w:noWrap/>
            <w:vAlign w:val="center"/>
          </w:tcPr>
          <w:p w14:paraId="4CAB989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 w14:paraId="7D60D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depth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75658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</w:tr>
      <w:tr w14:paraId="75FDF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continue"/>
            <w:tcBorders/>
            <w:shd w:val="clear"/>
            <w:noWrap/>
            <w:vAlign w:val="center"/>
          </w:tcPr>
          <w:p w14:paraId="017E7BB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 w14:paraId="0ABBE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l2_leaf_reg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7EC22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</w:tr>
      <w:tr w14:paraId="7359F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50" w:type="dxa"/>
            <w:vMerge w:val="continue"/>
            <w:tcBorders/>
            <w:shd w:val="clear"/>
            <w:noWrap/>
            <w:vAlign w:val="center"/>
          </w:tcPr>
          <w:p w14:paraId="715047D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 w14:paraId="6748F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early_stopping_rounds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5B4A1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</w:tr>
    </w:tbl>
    <w:p w14:paraId="06E87DD4">
      <w:pPr>
        <w:spacing w:beforeLines="0" w:afterLines="0"/>
        <w:jc w:val="left"/>
        <w:rPr>
          <w:rFonts w:hint="default" w:ascii="Times New Roman" w:hAnsi="Times New Roman" w:eastAsia="NimbusRomNo9L-Regu" w:cs="Times New Roman"/>
          <w:sz w:val="24"/>
          <w:szCs w:val="24"/>
          <w:lang w:val="en-US" w:eastAsia="zh-CN"/>
        </w:rPr>
      </w:pPr>
    </w:p>
    <w:sectPr>
      <w:pgSz w:w="11906" w:h="16838"/>
      <w:pgMar w:top="1440" w:right="1440" w:bottom="1440" w:left="144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engXian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NimbusRomNo9L-Regu">
    <w:altName w:val="UD Digi Kyokasho N-R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UD Digi Kyokasho N-R">
    <w:panose1 w:val="02020400000000000000"/>
    <w:charset w:val="80"/>
    <w:family w:val="auto"/>
    <w:pitch w:val="default"/>
    <w:sig w:usb0="800002A3" w:usb1="2AC7ECFA" w:usb2="00000010" w:usb3="00000000" w:csb0="00020000" w:csb1="00000000"/>
  </w:font>
  <w:font w:name="NimbusRomNo9L-ReguItal">
    <w:altName w:val="UD Digi Kyokasho N-R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NimbusRomNo9L-Medi">
    <w:altName w:val="UD Digi Kyokasho N-R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MSY7">
    <w:altName w:val="UD Digi Kyokasho N-R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CMSY10">
    <w:altName w:val="UD Digi Kyokasho N-R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CMMI8">
    <w:altName w:val="Malgun Gothic"/>
    <w:panose1 w:val="00000000000000000000"/>
    <w:charset w:val="81"/>
    <w:family w:val="auto"/>
    <w:pitch w:val="default"/>
    <w:sig w:usb0="00000000" w:usb1="00000000" w:usb2="00000000" w:usb3="00000000" w:csb0="00080000" w:csb1="00000000"/>
  </w:font>
  <w:font w:name="CMSY8">
    <w:altName w:val="UD Digi Kyokasho N-R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19A6FF"/>
    <w:multiLevelType w:val="multilevel"/>
    <w:tmpl w:val="3419A6F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7234A329"/>
    <w:multiLevelType w:val="multilevel"/>
    <w:tmpl w:val="7234A32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3555734E"/>
    <w:rsid w:val="3C322545"/>
    <w:rsid w:val="55B6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iPriority w:val="0"/>
    <w:rPr>
      <w:color w:val="0000FF"/>
      <w:u w:val="single"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7">
    <w:name w:val="Strong"/>
    <w:basedOn w:val="3"/>
    <w:qFormat/>
    <w:uiPriority w:val="0"/>
    <w:rPr>
      <w:b/>
      <w:bCs/>
    </w:rPr>
  </w:style>
  <w:style w:type="table" w:styleId="8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0</Words>
  <Characters>0</Characters>
  <Lines>0</Lines>
  <Paragraphs>0</Paragraphs>
  <TotalTime>40</TotalTime>
  <ScaleCrop>false</ScaleCrop>
  <LinksUpToDate>false</LinksUpToDate>
  <CharactersWithSpaces>0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2024-10-19T22:11:00Z</dcterms:created>
  <dc:creator>luo20</dc:creator>
  <cp:lastModifiedBy>Zheng Luo</cp:lastModifiedBy>
  <dcterms:modified xsi:type="dcterms:W3CDTF">2024-10-19T23:46:32Z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763B2CF94C7A409D8C48E2190BEC2769_12</vt:lpwstr>
  </property>
</Properties>
</file>